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A5D660" w14:textId="77777777" w:rsidR="001F1E4D" w:rsidRPr="00BD0B7F" w:rsidRDefault="001F1E4D" w:rsidP="001F1E4D">
      <w:pPr>
        <w:spacing w:after="0" w:line="240" w:lineRule="auto"/>
      </w:pPr>
    </w:p>
    <w:p w14:paraId="31D27BA6" w14:textId="77777777" w:rsidR="00FD4A32" w:rsidRPr="009329A8" w:rsidRDefault="00FD4A32" w:rsidP="00FD4A32">
      <w:pPr>
        <w:spacing w:after="0" w:line="240" w:lineRule="auto"/>
        <w:jc w:val="center"/>
        <w:rPr>
          <w:rFonts w:ascii="Myriad Pro" w:hAnsi="Myriad Pro"/>
          <w:sz w:val="40"/>
          <w:szCs w:val="40"/>
        </w:rPr>
      </w:pPr>
    </w:p>
    <w:p w14:paraId="471E18E9" w14:textId="77777777" w:rsidR="001F1E4D" w:rsidRPr="00280589" w:rsidRDefault="001F1E4D" w:rsidP="00FD4A32">
      <w:pPr>
        <w:spacing w:after="0" w:line="240" w:lineRule="auto"/>
        <w:jc w:val="center"/>
        <w:rPr>
          <w:rFonts w:ascii="Myriad Pro" w:hAnsi="Myriad Pro"/>
          <w:sz w:val="60"/>
          <w:szCs w:val="60"/>
        </w:rPr>
      </w:pPr>
      <w:r w:rsidRPr="00280589">
        <w:rPr>
          <w:rFonts w:ascii="Myriad Pro" w:hAnsi="Myriad Pro"/>
          <w:sz w:val="60"/>
          <w:szCs w:val="60"/>
        </w:rPr>
        <w:t>Post-Natural Disturbance</w:t>
      </w:r>
    </w:p>
    <w:p w14:paraId="68AE7C08" w14:textId="77777777" w:rsidR="001F1E4D" w:rsidRPr="00280589" w:rsidRDefault="001F1E4D" w:rsidP="00FD4A32">
      <w:pPr>
        <w:spacing w:after="0" w:line="240" w:lineRule="auto"/>
        <w:jc w:val="center"/>
        <w:rPr>
          <w:rFonts w:ascii="Myriad Pro" w:hAnsi="Myriad Pro"/>
          <w:sz w:val="60"/>
          <w:szCs w:val="60"/>
        </w:rPr>
      </w:pPr>
      <w:r w:rsidRPr="00280589">
        <w:rPr>
          <w:rFonts w:ascii="Myriad Pro" w:hAnsi="Myriad Pro"/>
          <w:sz w:val="60"/>
          <w:szCs w:val="60"/>
        </w:rPr>
        <w:t>Forest Retention Guidance</w:t>
      </w:r>
    </w:p>
    <w:p w14:paraId="08D93380" w14:textId="77777777" w:rsidR="001F1E4D" w:rsidRPr="00280589" w:rsidRDefault="001F1E4D" w:rsidP="00FD4A32">
      <w:pPr>
        <w:spacing w:after="0" w:line="240" w:lineRule="auto"/>
        <w:jc w:val="center"/>
        <w:rPr>
          <w:rFonts w:ascii="Myriad Pro" w:hAnsi="Myriad Pro"/>
          <w:sz w:val="20"/>
          <w:szCs w:val="20"/>
        </w:rPr>
      </w:pPr>
    </w:p>
    <w:p w14:paraId="0F995AE4" w14:textId="77777777" w:rsidR="001F1E4D" w:rsidRDefault="001F1E4D" w:rsidP="00FD4A32">
      <w:pPr>
        <w:spacing w:after="0" w:line="240" w:lineRule="auto"/>
        <w:jc w:val="center"/>
        <w:rPr>
          <w:rFonts w:ascii="Myriad Pro" w:hAnsi="Myriad Pro"/>
          <w:sz w:val="40"/>
          <w:szCs w:val="40"/>
        </w:rPr>
      </w:pPr>
      <w:r w:rsidRPr="00280589">
        <w:rPr>
          <w:rFonts w:ascii="Myriad Pro" w:hAnsi="Myriad Pro"/>
          <w:sz w:val="40"/>
          <w:szCs w:val="40"/>
        </w:rPr>
        <w:t>2017 Wildfires</w:t>
      </w:r>
    </w:p>
    <w:p w14:paraId="0BA15AB0" w14:textId="77777777" w:rsidR="009329A8" w:rsidRDefault="009329A8" w:rsidP="00FD4A32">
      <w:pPr>
        <w:spacing w:after="0" w:line="240" w:lineRule="auto"/>
        <w:jc w:val="center"/>
        <w:rPr>
          <w:rFonts w:ascii="Myriad Pro" w:hAnsi="Myriad Pro"/>
          <w:sz w:val="40"/>
          <w:szCs w:val="40"/>
        </w:rPr>
      </w:pPr>
    </w:p>
    <w:p w14:paraId="1098C7B9" w14:textId="77777777" w:rsidR="001F1E4D" w:rsidRDefault="001F1E4D" w:rsidP="00FD4A32">
      <w:pPr>
        <w:spacing w:after="0" w:line="240" w:lineRule="auto"/>
        <w:jc w:val="center"/>
        <w:rPr>
          <w:rFonts w:ascii="Myriad Pro" w:hAnsi="Myriad Pro"/>
          <w:sz w:val="20"/>
          <w:szCs w:val="20"/>
        </w:rPr>
      </w:pPr>
    </w:p>
    <w:p w14:paraId="0F2DAC07" w14:textId="511BEDFE" w:rsidR="005F036F" w:rsidRDefault="005F036F" w:rsidP="009329A8">
      <w:pPr>
        <w:spacing w:after="0" w:line="240" w:lineRule="auto"/>
        <w:rPr>
          <w:rFonts w:ascii="Myriad Pro" w:hAnsi="Myriad Pro"/>
          <w:sz w:val="20"/>
          <w:szCs w:val="20"/>
        </w:rPr>
      </w:pPr>
      <w:r>
        <w:rPr>
          <w:rFonts w:ascii="Myriad Pro" w:hAnsi="Myriad Pro"/>
          <w:noProof/>
          <w:sz w:val="20"/>
          <w:szCs w:val="20"/>
          <w:lang w:val="en-CA" w:eastAsia="en-CA"/>
        </w:rPr>
        <w:drawing>
          <wp:inline distT="0" distB="0" distL="0" distR="0" wp14:anchorId="53DEA956" wp14:editId="227620A9">
            <wp:extent cx="2823294" cy="2182028"/>
            <wp:effectExtent l="19050" t="19050" r="15240" b="279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rry - 18-13 f.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830860" cy="2187876"/>
                    </a:xfrm>
                    <a:prstGeom prst="rect">
                      <a:avLst/>
                    </a:prstGeom>
                    <a:ln>
                      <a:solidFill>
                        <a:schemeClr val="tx1"/>
                      </a:solidFill>
                    </a:ln>
                  </pic:spPr>
                </pic:pic>
              </a:graphicData>
            </a:graphic>
          </wp:inline>
        </w:drawing>
      </w:r>
      <w:r w:rsidR="009329A8">
        <w:rPr>
          <w:rFonts w:ascii="Myriad Pro" w:hAnsi="Myriad Pro"/>
          <w:sz w:val="20"/>
          <w:szCs w:val="20"/>
        </w:rPr>
        <w:t xml:space="preserve">   </w:t>
      </w:r>
      <w:r w:rsidR="005447B3">
        <w:rPr>
          <w:rFonts w:ascii="Myriad Pro" w:hAnsi="Myriad Pro"/>
          <w:noProof/>
          <w:sz w:val="20"/>
          <w:szCs w:val="20"/>
          <w:lang w:val="en-CA" w:eastAsia="en-CA"/>
        </w:rPr>
        <w:drawing>
          <wp:inline distT="0" distB="0" distL="0" distR="0" wp14:anchorId="51175580" wp14:editId="35047D03">
            <wp:extent cx="2918564" cy="2188922"/>
            <wp:effectExtent l="19050" t="19050" r="15240" b="209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8 - General.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925570" cy="2194176"/>
                    </a:xfrm>
                    <a:prstGeom prst="rect">
                      <a:avLst/>
                    </a:prstGeom>
                    <a:ln>
                      <a:solidFill>
                        <a:schemeClr val="tx1"/>
                      </a:solidFill>
                    </a:ln>
                  </pic:spPr>
                </pic:pic>
              </a:graphicData>
            </a:graphic>
          </wp:inline>
        </w:drawing>
      </w:r>
    </w:p>
    <w:p w14:paraId="35BE4B9F" w14:textId="77777777" w:rsidR="001F1E4D" w:rsidRPr="00280589" w:rsidRDefault="001F1E4D" w:rsidP="00FD4A32">
      <w:pPr>
        <w:spacing w:after="0" w:line="240" w:lineRule="auto"/>
        <w:jc w:val="center"/>
        <w:rPr>
          <w:rFonts w:ascii="Myriad Pro" w:hAnsi="Myriad Pro"/>
          <w:sz w:val="20"/>
          <w:szCs w:val="20"/>
        </w:rPr>
      </w:pPr>
    </w:p>
    <w:p w14:paraId="3D15C8E3" w14:textId="77777777" w:rsidR="00FD4A32" w:rsidRDefault="00FD4A32" w:rsidP="00FD4A32">
      <w:pPr>
        <w:spacing w:after="0" w:line="240" w:lineRule="auto"/>
        <w:rPr>
          <w:rFonts w:ascii="Myriad Pro" w:hAnsi="Myriad Pro"/>
          <w:sz w:val="28"/>
          <w:szCs w:val="28"/>
        </w:rPr>
      </w:pPr>
    </w:p>
    <w:p w14:paraId="07C87F90" w14:textId="77777777" w:rsidR="00FD4A32" w:rsidRDefault="00FD4A32" w:rsidP="00FD4A32">
      <w:pPr>
        <w:spacing w:after="0" w:line="240" w:lineRule="auto"/>
        <w:jc w:val="center"/>
        <w:rPr>
          <w:rFonts w:ascii="Myriad Pro" w:hAnsi="Myriad Pro"/>
          <w:sz w:val="28"/>
          <w:szCs w:val="28"/>
        </w:rPr>
      </w:pPr>
    </w:p>
    <w:p w14:paraId="444705B6" w14:textId="77777777" w:rsidR="00020577" w:rsidRDefault="00020577" w:rsidP="00FD4A32">
      <w:pPr>
        <w:spacing w:after="0" w:line="240" w:lineRule="auto"/>
        <w:jc w:val="center"/>
        <w:rPr>
          <w:rFonts w:ascii="Myriad Pro" w:hAnsi="Myriad Pro"/>
          <w:sz w:val="24"/>
          <w:szCs w:val="24"/>
        </w:rPr>
      </w:pPr>
    </w:p>
    <w:p w14:paraId="73B2FC6B" w14:textId="77777777" w:rsidR="00020577" w:rsidRDefault="00020577" w:rsidP="00FD4A32">
      <w:pPr>
        <w:spacing w:after="0" w:line="240" w:lineRule="auto"/>
        <w:jc w:val="center"/>
        <w:rPr>
          <w:rFonts w:ascii="Myriad Pro" w:hAnsi="Myriad Pro"/>
          <w:sz w:val="24"/>
          <w:szCs w:val="24"/>
        </w:rPr>
      </w:pPr>
    </w:p>
    <w:p w14:paraId="348A84E4" w14:textId="77777777" w:rsidR="00020577" w:rsidRDefault="00020577" w:rsidP="00FD4A32">
      <w:pPr>
        <w:spacing w:after="0" w:line="240" w:lineRule="auto"/>
        <w:jc w:val="center"/>
        <w:rPr>
          <w:rFonts w:ascii="Myriad Pro" w:hAnsi="Myriad Pro"/>
          <w:sz w:val="24"/>
          <w:szCs w:val="24"/>
        </w:rPr>
      </w:pPr>
    </w:p>
    <w:p w14:paraId="6067F25E" w14:textId="242379A7" w:rsidR="001F1E4D" w:rsidRPr="009329A8" w:rsidRDefault="001F1E4D" w:rsidP="00FD4A32">
      <w:pPr>
        <w:spacing w:after="0" w:line="240" w:lineRule="auto"/>
        <w:jc w:val="center"/>
        <w:rPr>
          <w:rFonts w:ascii="Myriad Pro" w:hAnsi="Myriad Pro"/>
          <w:sz w:val="24"/>
          <w:szCs w:val="24"/>
        </w:rPr>
      </w:pPr>
      <w:r w:rsidRPr="009329A8">
        <w:rPr>
          <w:rFonts w:ascii="Myriad Pro" w:hAnsi="Myriad Pro"/>
          <w:sz w:val="24"/>
          <w:szCs w:val="24"/>
        </w:rPr>
        <w:t>Diane Nicholls, ADM, Chief Forester</w:t>
      </w:r>
    </w:p>
    <w:p w14:paraId="0EC9F7AA" w14:textId="7FFED308" w:rsidR="001F1E4D" w:rsidRPr="009329A8" w:rsidRDefault="001F1E4D" w:rsidP="00FD4A32">
      <w:pPr>
        <w:spacing w:after="0" w:line="240" w:lineRule="auto"/>
        <w:jc w:val="center"/>
        <w:rPr>
          <w:rFonts w:ascii="Myriad Pro" w:hAnsi="Myriad Pro"/>
          <w:sz w:val="24"/>
          <w:szCs w:val="24"/>
        </w:rPr>
      </w:pPr>
      <w:r w:rsidRPr="009329A8">
        <w:rPr>
          <w:rFonts w:ascii="Myriad Pro" w:hAnsi="Myriad Pro"/>
          <w:sz w:val="24"/>
          <w:szCs w:val="24"/>
        </w:rPr>
        <w:t>Office of the Chief Forester Division</w:t>
      </w:r>
    </w:p>
    <w:p w14:paraId="752EDD5E" w14:textId="77777777" w:rsidR="001F1E4D" w:rsidRPr="009329A8" w:rsidRDefault="001F1E4D" w:rsidP="00FD4A32">
      <w:pPr>
        <w:spacing w:after="0" w:line="240" w:lineRule="auto"/>
        <w:jc w:val="center"/>
        <w:rPr>
          <w:rFonts w:ascii="Myriad Pro" w:hAnsi="Myriad Pro"/>
          <w:sz w:val="24"/>
          <w:szCs w:val="24"/>
        </w:rPr>
      </w:pPr>
    </w:p>
    <w:p w14:paraId="21EF4A39" w14:textId="6DF2D22A" w:rsidR="001F1E4D" w:rsidRPr="009329A8" w:rsidRDefault="001F1E4D" w:rsidP="00FD4A32">
      <w:pPr>
        <w:spacing w:after="0" w:line="240" w:lineRule="auto"/>
        <w:jc w:val="center"/>
        <w:rPr>
          <w:rFonts w:ascii="Myriad Pro" w:hAnsi="Myriad Pro"/>
          <w:sz w:val="24"/>
          <w:szCs w:val="24"/>
        </w:rPr>
      </w:pPr>
      <w:r w:rsidRPr="009329A8">
        <w:rPr>
          <w:rFonts w:ascii="Myriad Pro" w:hAnsi="Myriad Pro"/>
          <w:sz w:val="24"/>
          <w:szCs w:val="24"/>
        </w:rPr>
        <w:t>Tom Ethier, ADM,</w:t>
      </w:r>
    </w:p>
    <w:p w14:paraId="1DBC7912" w14:textId="1912312D" w:rsidR="001F1E4D" w:rsidRPr="009329A8" w:rsidRDefault="005F036F" w:rsidP="00FD4A32">
      <w:pPr>
        <w:spacing w:after="0" w:line="240" w:lineRule="auto"/>
        <w:jc w:val="center"/>
        <w:rPr>
          <w:rFonts w:ascii="Myriad Pro" w:hAnsi="Myriad Pro"/>
          <w:sz w:val="24"/>
          <w:szCs w:val="24"/>
        </w:rPr>
      </w:pPr>
      <w:r w:rsidRPr="009329A8">
        <w:rPr>
          <w:rFonts w:ascii="Myriad Pro" w:hAnsi="Myriad Pro"/>
          <w:sz w:val="24"/>
          <w:szCs w:val="24"/>
        </w:rPr>
        <w:t>Resource Stewardship Division</w:t>
      </w:r>
    </w:p>
    <w:p w14:paraId="027D999D" w14:textId="77777777" w:rsidR="009329A8" w:rsidRDefault="009329A8" w:rsidP="00FD4A32">
      <w:pPr>
        <w:spacing w:after="0" w:line="240" w:lineRule="auto"/>
        <w:jc w:val="center"/>
        <w:rPr>
          <w:rFonts w:ascii="Myriad Pro" w:hAnsi="Myriad Pro"/>
          <w:sz w:val="24"/>
          <w:szCs w:val="24"/>
        </w:rPr>
      </w:pPr>
    </w:p>
    <w:p w14:paraId="277AD4C2" w14:textId="77777777" w:rsidR="009329A8" w:rsidRPr="009329A8" w:rsidRDefault="009329A8" w:rsidP="00FD4A32">
      <w:pPr>
        <w:spacing w:after="0" w:line="240" w:lineRule="auto"/>
        <w:jc w:val="center"/>
        <w:rPr>
          <w:rFonts w:ascii="Myriad Pro" w:hAnsi="Myriad Pro"/>
          <w:sz w:val="24"/>
          <w:szCs w:val="24"/>
        </w:rPr>
      </w:pPr>
    </w:p>
    <w:p w14:paraId="627D6F52" w14:textId="5D884938" w:rsidR="001F1E4D" w:rsidRPr="009329A8" w:rsidRDefault="00254B65" w:rsidP="00FD4A32">
      <w:pPr>
        <w:spacing w:after="0" w:line="240" w:lineRule="auto"/>
        <w:jc w:val="center"/>
        <w:rPr>
          <w:rFonts w:ascii="Myriad Pro" w:hAnsi="Myriad Pro"/>
          <w:sz w:val="24"/>
          <w:szCs w:val="24"/>
        </w:rPr>
      </w:pPr>
      <w:r w:rsidRPr="009329A8">
        <w:rPr>
          <w:rFonts w:ascii="Myriad Pro" w:hAnsi="Myriad Pro"/>
          <w:sz w:val="24"/>
          <w:szCs w:val="24"/>
        </w:rPr>
        <w:t xml:space="preserve">January </w:t>
      </w:r>
      <w:r w:rsidR="009329A8" w:rsidRPr="009329A8">
        <w:rPr>
          <w:rFonts w:ascii="Myriad Pro" w:hAnsi="Myriad Pro"/>
          <w:sz w:val="24"/>
          <w:szCs w:val="24"/>
        </w:rPr>
        <w:t>19</w:t>
      </w:r>
      <w:r w:rsidR="001F1E4D" w:rsidRPr="009329A8">
        <w:rPr>
          <w:rFonts w:ascii="Myriad Pro" w:hAnsi="Myriad Pro"/>
          <w:sz w:val="24"/>
          <w:szCs w:val="24"/>
        </w:rPr>
        <w:t>, 2018</w:t>
      </w:r>
    </w:p>
    <w:p w14:paraId="375CFBDB" w14:textId="1C4D767D" w:rsidR="00FA1693" w:rsidRPr="00020577" w:rsidRDefault="001F1E4D" w:rsidP="00FD4A32">
      <w:pPr>
        <w:spacing w:after="0" w:line="240" w:lineRule="auto"/>
        <w:jc w:val="center"/>
      </w:pPr>
      <w:r>
        <w:rPr>
          <w:noProof/>
          <w:lang w:val="en-CA" w:eastAsia="en-CA"/>
        </w:rPr>
        <w:lastRenderedPageBreak/>
        <w:drawing>
          <wp:inline distT="0" distB="0" distL="0" distR="0" wp14:anchorId="5024DEC4" wp14:editId="3182DDEB">
            <wp:extent cx="2862157" cy="1043648"/>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C_FLNR_H_CMYK_po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866137" cy="1045099"/>
                    </a:xfrm>
                    <a:prstGeom prst="rect">
                      <a:avLst/>
                    </a:prstGeom>
                  </pic:spPr>
                </pic:pic>
              </a:graphicData>
            </a:graphic>
          </wp:inline>
        </w:drawing>
      </w:r>
    </w:p>
    <w:p w14:paraId="76713700" w14:textId="77777777" w:rsidR="00506135" w:rsidRPr="00020577" w:rsidRDefault="00506135" w:rsidP="00020577">
      <w:pPr>
        <w:spacing w:after="0" w:line="240" w:lineRule="auto"/>
        <w:jc w:val="center"/>
        <w:rPr>
          <w:sz w:val="18"/>
          <w:szCs w:val="18"/>
        </w:rPr>
      </w:pPr>
    </w:p>
    <w:p w14:paraId="7057F26F" w14:textId="77777777" w:rsidR="00506135" w:rsidRPr="00020577" w:rsidRDefault="00506135" w:rsidP="00020577">
      <w:pPr>
        <w:spacing w:after="0" w:line="240" w:lineRule="auto"/>
        <w:rPr>
          <w:sz w:val="18"/>
          <w:szCs w:val="18"/>
        </w:rPr>
      </w:pPr>
    </w:p>
    <w:p w14:paraId="78FC919E" w14:textId="77777777" w:rsidR="00506135" w:rsidRPr="00020577" w:rsidRDefault="00506135" w:rsidP="00020577">
      <w:pPr>
        <w:spacing w:after="0" w:line="240" w:lineRule="auto"/>
        <w:rPr>
          <w:sz w:val="18"/>
          <w:szCs w:val="18"/>
        </w:rPr>
      </w:pPr>
    </w:p>
    <w:p w14:paraId="0C6B6000" w14:textId="77777777" w:rsidR="00506135" w:rsidRPr="00020577" w:rsidRDefault="00506135" w:rsidP="00020577">
      <w:pPr>
        <w:spacing w:after="0" w:line="240" w:lineRule="auto"/>
        <w:rPr>
          <w:sz w:val="18"/>
          <w:szCs w:val="18"/>
        </w:rPr>
      </w:pPr>
    </w:p>
    <w:p w14:paraId="0E4E8E62" w14:textId="77777777" w:rsidR="00506135" w:rsidRPr="00020577" w:rsidRDefault="00506135" w:rsidP="00020577">
      <w:pPr>
        <w:spacing w:after="0" w:line="240" w:lineRule="auto"/>
        <w:rPr>
          <w:sz w:val="18"/>
          <w:szCs w:val="18"/>
        </w:rPr>
      </w:pPr>
    </w:p>
    <w:p w14:paraId="76B909C9" w14:textId="77777777" w:rsidR="00506135" w:rsidRPr="00020577" w:rsidRDefault="00506135" w:rsidP="00020577">
      <w:pPr>
        <w:spacing w:after="0" w:line="240" w:lineRule="auto"/>
        <w:rPr>
          <w:sz w:val="18"/>
          <w:szCs w:val="18"/>
        </w:rPr>
      </w:pPr>
    </w:p>
    <w:p w14:paraId="33B94919" w14:textId="77777777" w:rsidR="00506135" w:rsidRPr="00020577" w:rsidRDefault="00506135" w:rsidP="00020577">
      <w:pPr>
        <w:spacing w:after="0" w:line="240" w:lineRule="auto"/>
        <w:rPr>
          <w:sz w:val="18"/>
          <w:szCs w:val="18"/>
        </w:rPr>
      </w:pPr>
    </w:p>
    <w:p w14:paraId="66361F45" w14:textId="77777777" w:rsidR="00506135" w:rsidRPr="00020577" w:rsidRDefault="00506135" w:rsidP="00020577">
      <w:pPr>
        <w:spacing w:after="0" w:line="240" w:lineRule="auto"/>
        <w:rPr>
          <w:sz w:val="18"/>
          <w:szCs w:val="18"/>
        </w:rPr>
      </w:pPr>
    </w:p>
    <w:p w14:paraId="455A7614" w14:textId="77777777" w:rsidR="00506135" w:rsidRPr="00020577" w:rsidRDefault="00506135" w:rsidP="00020577">
      <w:pPr>
        <w:spacing w:after="0" w:line="240" w:lineRule="auto"/>
        <w:rPr>
          <w:sz w:val="18"/>
          <w:szCs w:val="18"/>
        </w:rPr>
      </w:pPr>
    </w:p>
    <w:p w14:paraId="3A70B934" w14:textId="77777777" w:rsidR="00506135" w:rsidRPr="00020577" w:rsidRDefault="00506135" w:rsidP="00020577">
      <w:pPr>
        <w:spacing w:after="0" w:line="240" w:lineRule="auto"/>
        <w:rPr>
          <w:sz w:val="18"/>
          <w:szCs w:val="18"/>
        </w:rPr>
      </w:pPr>
    </w:p>
    <w:p w14:paraId="117DD4DD" w14:textId="77777777" w:rsidR="00506135" w:rsidRPr="00020577" w:rsidRDefault="00506135" w:rsidP="00020577">
      <w:pPr>
        <w:spacing w:after="0" w:line="240" w:lineRule="auto"/>
        <w:rPr>
          <w:sz w:val="18"/>
          <w:szCs w:val="18"/>
        </w:rPr>
      </w:pPr>
    </w:p>
    <w:p w14:paraId="4829B7EF" w14:textId="7221BD8E" w:rsidR="00DB1403" w:rsidRPr="00DB1403" w:rsidRDefault="00DB1403" w:rsidP="00DB1403">
      <w:pPr>
        <w:spacing w:after="0" w:line="240" w:lineRule="auto"/>
        <w:jc w:val="center"/>
        <w:rPr>
          <w:sz w:val="28"/>
          <w:szCs w:val="28"/>
        </w:rPr>
      </w:pPr>
      <w:r w:rsidRPr="00DB1403">
        <w:rPr>
          <w:sz w:val="28"/>
          <w:szCs w:val="28"/>
        </w:rPr>
        <w:t>Post-Natural Disturbance</w:t>
      </w:r>
      <w:r>
        <w:rPr>
          <w:sz w:val="28"/>
          <w:szCs w:val="28"/>
        </w:rPr>
        <w:t xml:space="preserve"> </w:t>
      </w:r>
      <w:r w:rsidRPr="00DB1403">
        <w:rPr>
          <w:sz w:val="28"/>
          <w:szCs w:val="28"/>
        </w:rPr>
        <w:t>Forest Retention Guidance</w:t>
      </w:r>
    </w:p>
    <w:p w14:paraId="038218A1" w14:textId="77777777" w:rsidR="00DB1403" w:rsidRPr="00DB1403" w:rsidRDefault="00DB1403" w:rsidP="00DB1403">
      <w:pPr>
        <w:spacing w:after="0" w:line="240" w:lineRule="auto"/>
        <w:jc w:val="center"/>
        <w:rPr>
          <w:sz w:val="28"/>
          <w:szCs w:val="28"/>
        </w:rPr>
      </w:pPr>
      <w:r w:rsidRPr="00DB1403">
        <w:rPr>
          <w:sz w:val="28"/>
          <w:szCs w:val="28"/>
        </w:rPr>
        <w:t>2017 Wildfires</w:t>
      </w:r>
    </w:p>
    <w:p w14:paraId="235BD504" w14:textId="77777777" w:rsidR="00506135" w:rsidRPr="00020577" w:rsidRDefault="00506135" w:rsidP="00020577">
      <w:pPr>
        <w:spacing w:after="0" w:line="240" w:lineRule="auto"/>
        <w:rPr>
          <w:sz w:val="18"/>
          <w:szCs w:val="18"/>
        </w:rPr>
      </w:pPr>
    </w:p>
    <w:p w14:paraId="1507ACCF" w14:textId="77777777" w:rsidR="00506135" w:rsidRPr="00020577" w:rsidRDefault="00506135" w:rsidP="00020577">
      <w:pPr>
        <w:spacing w:after="0" w:line="240" w:lineRule="auto"/>
        <w:rPr>
          <w:sz w:val="18"/>
          <w:szCs w:val="18"/>
        </w:rPr>
      </w:pPr>
    </w:p>
    <w:p w14:paraId="627D3712" w14:textId="77777777" w:rsidR="00506135" w:rsidRPr="00020577" w:rsidRDefault="00506135" w:rsidP="00020577">
      <w:pPr>
        <w:spacing w:after="0" w:line="240" w:lineRule="auto"/>
        <w:rPr>
          <w:sz w:val="18"/>
          <w:szCs w:val="18"/>
        </w:rPr>
      </w:pPr>
    </w:p>
    <w:p w14:paraId="78B69E61" w14:textId="77777777" w:rsidR="00506135" w:rsidRPr="00020577" w:rsidRDefault="00506135" w:rsidP="00020577">
      <w:pPr>
        <w:spacing w:after="0" w:line="240" w:lineRule="auto"/>
        <w:rPr>
          <w:sz w:val="18"/>
          <w:szCs w:val="18"/>
        </w:rPr>
      </w:pPr>
    </w:p>
    <w:p w14:paraId="10E6DE36" w14:textId="77777777" w:rsidR="00506135" w:rsidRPr="00020577" w:rsidRDefault="00506135" w:rsidP="00020577">
      <w:pPr>
        <w:spacing w:after="0" w:line="240" w:lineRule="auto"/>
        <w:rPr>
          <w:sz w:val="18"/>
          <w:szCs w:val="18"/>
        </w:rPr>
      </w:pPr>
    </w:p>
    <w:p w14:paraId="03E7718C" w14:textId="09E4BB11" w:rsidR="00506135" w:rsidRDefault="00020577" w:rsidP="00020577">
      <w:pPr>
        <w:spacing w:after="0" w:line="240" w:lineRule="auto"/>
        <w:jc w:val="center"/>
        <w:rPr>
          <w:sz w:val="28"/>
          <w:szCs w:val="28"/>
        </w:rPr>
      </w:pPr>
      <w:r w:rsidRPr="00020577">
        <w:rPr>
          <w:sz w:val="28"/>
          <w:szCs w:val="28"/>
        </w:rPr>
        <w:t>Approved by:</w:t>
      </w:r>
    </w:p>
    <w:p w14:paraId="1B8433C3" w14:textId="77777777" w:rsidR="00020577" w:rsidRDefault="00020577" w:rsidP="00020577">
      <w:pPr>
        <w:spacing w:after="0" w:line="240" w:lineRule="auto"/>
        <w:jc w:val="center"/>
        <w:rPr>
          <w:sz w:val="28"/>
          <w:szCs w:val="28"/>
        </w:rPr>
      </w:pPr>
    </w:p>
    <w:p w14:paraId="71565CA0" w14:textId="77777777" w:rsidR="00020577" w:rsidRPr="00020577" w:rsidRDefault="00020577" w:rsidP="00020577">
      <w:pPr>
        <w:spacing w:after="0" w:line="240" w:lineRule="auto"/>
        <w:jc w:val="center"/>
        <w:rPr>
          <w:sz w:val="24"/>
          <w:szCs w:val="24"/>
        </w:rPr>
      </w:pPr>
    </w:p>
    <w:p w14:paraId="50D547F9" w14:textId="56D45A9B" w:rsidR="00020577" w:rsidRDefault="00020577" w:rsidP="00020577">
      <w:pPr>
        <w:spacing w:after="0" w:line="240" w:lineRule="auto"/>
        <w:rPr>
          <w:sz w:val="24"/>
          <w:szCs w:val="24"/>
        </w:rPr>
      </w:pPr>
      <w:r>
        <w:rPr>
          <w:sz w:val="24"/>
          <w:szCs w:val="24"/>
        </w:rPr>
        <w:t xml:space="preserve">          </w:t>
      </w:r>
      <w:r>
        <w:rPr>
          <w:noProof/>
          <w:lang w:val="en-CA" w:eastAsia="en-CA"/>
        </w:rPr>
        <w:drawing>
          <wp:inline distT="0" distB="0" distL="0" distR="0" wp14:anchorId="66DC623D" wp14:editId="0885B814">
            <wp:extent cx="1845286" cy="657225"/>
            <wp:effectExtent l="0" t="0" r="3175" b="0"/>
            <wp:docPr id="5" name="Picture 5" descr="H:\MISC\Signatures_Official\2013_Official_Signatures\Deputy_Chief_Forester_Nicholls\signatures\sign_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MISC\Signatures_Official\2013_Official_Signatures\Deputy_Chief_Forester_Nicholls\signatures\sign_3.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54200" cy="660400"/>
                    </a:xfrm>
                    <a:prstGeom prst="rect">
                      <a:avLst/>
                    </a:prstGeom>
                    <a:noFill/>
                    <a:ln>
                      <a:noFill/>
                    </a:ln>
                  </pic:spPr>
                </pic:pic>
              </a:graphicData>
            </a:graphic>
          </wp:inline>
        </w:drawing>
      </w:r>
    </w:p>
    <w:p w14:paraId="07C80180" w14:textId="0CF3923D" w:rsidR="00020577" w:rsidRPr="00020577" w:rsidRDefault="00020577" w:rsidP="00020577">
      <w:pPr>
        <w:spacing w:after="0" w:line="240" w:lineRule="auto"/>
        <w:rPr>
          <w:sz w:val="24"/>
          <w:szCs w:val="24"/>
        </w:rPr>
      </w:pPr>
      <w:r w:rsidRPr="00020577">
        <w:rPr>
          <w:sz w:val="24"/>
          <w:szCs w:val="24"/>
        </w:rPr>
        <w:t>____________________________________________</w:t>
      </w:r>
      <w:r w:rsidRPr="00020577">
        <w:rPr>
          <w:sz w:val="24"/>
          <w:szCs w:val="24"/>
        </w:rPr>
        <w:tab/>
      </w:r>
      <w:r w:rsidRPr="00020577">
        <w:rPr>
          <w:sz w:val="24"/>
          <w:szCs w:val="24"/>
        </w:rPr>
        <w:tab/>
      </w:r>
      <w:r>
        <w:rPr>
          <w:sz w:val="24"/>
          <w:szCs w:val="24"/>
        </w:rPr>
        <w:tab/>
      </w:r>
      <w:r w:rsidRPr="00020577">
        <w:rPr>
          <w:sz w:val="24"/>
          <w:szCs w:val="24"/>
        </w:rPr>
        <w:t>Jan. 19, 2018</w:t>
      </w:r>
    </w:p>
    <w:p w14:paraId="33998C10" w14:textId="6828EBA8" w:rsidR="00506135" w:rsidRPr="00020577" w:rsidRDefault="00020577" w:rsidP="00020577">
      <w:pPr>
        <w:spacing w:after="0" w:line="240" w:lineRule="auto"/>
        <w:rPr>
          <w:sz w:val="24"/>
          <w:szCs w:val="24"/>
        </w:rPr>
      </w:pPr>
      <w:r w:rsidRPr="00020577">
        <w:rPr>
          <w:rFonts w:cs="Times-Roman"/>
          <w:sz w:val="24"/>
          <w:szCs w:val="24"/>
          <w:lang w:val="en-CA"/>
        </w:rPr>
        <w:t>Diane Nicholls, ADM Chief Forester</w:t>
      </w:r>
    </w:p>
    <w:p w14:paraId="249F124A" w14:textId="77777777" w:rsidR="00506135" w:rsidRDefault="00506135" w:rsidP="00020577">
      <w:pPr>
        <w:spacing w:after="0" w:line="240" w:lineRule="auto"/>
        <w:rPr>
          <w:sz w:val="24"/>
          <w:szCs w:val="24"/>
        </w:rPr>
      </w:pPr>
    </w:p>
    <w:p w14:paraId="4D54D034" w14:textId="77777777" w:rsidR="00020577" w:rsidRDefault="00020577" w:rsidP="00020577">
      <w:pPr>
        <w:spacing w:after="0" w:line="240" w:lineRule="auto"/>
        <w:rPr>
          <w:sz w:val="24"/>
          <w:szCs w:val="24"/>
        </w:rPr>
      </w:pPr>
    </w:p>
    <w:p w14:paraId="49C4443D" w14:textId="77777777" w:rsidR="00020577" w:rsidRDefault="00020577" w:rsidP="00020577">
      <w:pPr>
        <w:spacing w:after="0" w:line="240" w:lineRule="auto"/>
        <w:rPr>
          <w:sz w:val="24"/>
          <w:szCs w:val="24"/>
        </w:rPr>
      </w:pPr>
    </w:p>
    <w:p w14:paraId="097AC0D7" w14:textId="1C1C5ACD" w:rsidR="00020577" w:rsidRPr="00020577" w:rsidRDefault="00073F34" w:rsidP="00020577">
      <w:pPr>
        <w:spacing w:after="0" w:line="240" w:lineRule="auto"/>
        <w:rPr>
          <w:sz w:val="24"/>
          <w:szCs w:val="24"/>
        </w:rPr>
      </w:pPr>
      <w:r>
        <w:rPr>
          <w:sz w:val="24"/>
          <w:szCs w:val="24"/>
        </w:rPr>
        <w:t xml:space="preserve">          </w:t>
      </w:r>
      <w:r>
        <w:rPr>
          <w:noProof/>
          <w:sz w:val="24"/>
          <w:szCs w:val="24"/>
          <w:lang w:val="en-CA" w:eastAsia="en-CA"/>
        </w:rPr>
        <w:drawing>
          <wp:inline distT="0" distB="0" distL="0" distR="0" wp14:anchorId="05F64E73" wp14:editId="552C35E4">
            <wp:extent cx="1642872" cy="804672"/>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m Ethier signature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642872" cy="804672"/>
                    </a:xfrm>
                    <a:prstGeom prst="rect">
                      <a:avLst/>
                    </a:prstGeom>
                  </pic:spPr>
                </pic:pic>
              </a:graphicData>
            </a:graphic>
          </wp:inline>
        </w:drawing>
      </w:r>
    </w:p>
    <w:p w14:paraId="6BEC4C25" w14:textId="06D41E54" w:rsidR="00020577" w:rsidRPr="00020577" w:rsidRDefault="00020577" w:rsidP="00020577">
      <w:pPr>
        <w:spacing w:after="0" w:line="240" w:lineRule="auto"/>
        <w:rPr>
          <w:sz w:val="24"/>
          <w:szCs w:val="24"/>
        </w:rPr>
      </w:pPr>
      <w:r w:rsidRPr="00020577">
        <w:rPr>
          <w:sz w:val="24"/>
          <w:szCs w:val="24"/>
        </w:rPr>
        <w:t>___________________________________________</w:t>
      </w:r>
      <w:r w:rsidRPr="00020577">
        <w:rPr>
          <w:sz w:val="24"/>
          <w:szCs w:val="24"/>
        </w:rPr>
        <w:tab/>
      </w:r>
      <w:r w:rsidRPr="00020577">
        <w:rPr>
          <w:sz w:val="24"/>
          <w:szCs w:val="24"/>
        </w:rPr>
        <w:tab/>
      </w:r>
      <w:r>
        <w:rPr>
          <w:sz w:val="24"/>
          <w:szCs w:val="24"/>
        </w:rPr>
        <w:tab/>
      </w:r>
      <w:r w:rsidRPr="00020577">
        <w:rPr>
          <w:sz w:val="24"/>
          <w:szCs w:val="24"/>
        </w:rPr>
        <w:t>Jan. 19, 2018</w:t>
      </w:r>
    </w:p>
    <w:p w14:paraId="58229A57" w14:textId="550F76FE" w:rsidR="00020577" w:rsidRPr="00020577" w:rsidRDefault="00020577" w:rsidP="00020577">
      <w:pPr>
        <w:spacing w:after="0" w:line="240" w:lineRule="auto"/>
        <w:rPr>
          <w:rFonts w:cs="Times-Roman"/>
          <w:sz w:val="24"/>
          <w:szCs w:val="24"/>
        </w:rPr>
      </w:pPr>
      <w:r w:rsidRPr="00073F34">
        <w:rPr>
          <w:rFonts w:cs="Times-Roman"/>
          <w:sz w:val="24"/>
          <w:szCs w:val="24"/>
          <w:lang w:val="en-CA"/>
        </w:rPr>
        <w:t xml:space="preserve">Tom Ethier, </w:t>
      </w:r>
      <w:r w:rsidRPr="00073F34">
        <w:rPr>
          <w:rFonts w:cs="Times-Roman"/>
          <w:sz w:val="24"/>
          <w:szCs w:val="24"/>
        </w:rPr>
        <w:t>A</w:t>
      </w:r>
      <w:r w:rsidRPr="00020577">
        <w:rPr>
          <w:rFonts w:cs="Times-Roman"/>
          <w:sz w:val="24"/>
          <w:szCs w:val="24"/>
        </w:rPr>
        <w:t>DM</w:t>
      </w:r>
      <w:r>
        <w:rPr>
          <w:rFonts w:cs="Times-Roman"/>
          <w:sz w:val="24"/>
          <w:szCs w:val="24"/>
        </w:rPr>
        <w:t xml:space="preserve"> </w:t>
      </w:r>
      <w:r w:rsidRPr="00020577">
        <w:rPr>
          <w:rFonts w:cs="Times-Roman"/>
          <w:sz w:val="24"/>
          <w:szCs w:val="24"/>
        </w:rPr>
        <w:t>Resource Stewardship Division</w:t>
      </w:r>
    </w:p>
    <w:p w14:paraId="63321B21" w14:textId="10638862" w:rsidR="00020577" w:rsidRPr="00020577" w:rsidRDefault="00020577" w:rsidP="00020577">
      <w:pPr>
        <w:spacing w:after="0" w:line="240" w:lineRule="auto"/>
        <w:rPr>
          <w:sz w:val="24"/>
          <w:szCs w:val="24"/>
        </w:rPr>
      </w:pPr>
    </w:p>
    <w:p w14:paraId="058D5782" w14:textId="77777777" w:rsidR="00506135" w:rsidRPr="00020577" w:rsidRDefault="00506135" w:rsidP="00020577">
      <w:pPr>
        <w:spacing w:after="0" w:line="240" w:lineRule="auto"/>
        <w:rPr>
          <w:sz w:val="24"/>
          <w:szCs w:val="24"/>
        </w:rPr>
      </w:pPr>
    </w:p>
    <w:p w14:paraId="1A62D9AA" w14:textId="77777777" w:rsidR="00506135" w:rsidRPr="00020577" w:rsidRDefault="00506135" w:rsidP="00020577">
      <w:pPr>
        <w:spacing w:after="0" w:line="240" w:lineRule="auto"/>
        <w:rPr>
          <w:sz w:val="24"/>
          <w:szCs w:val="24"/>
        </w:rPr>
      </w:pPr>
    </w:p>
    <w:p w14:paraId="5D451484" w14:textId="77777777" w:rsidR="00506135" w:rsidRPr="00020577" w:rsidRDefault="00506135" w:rsidP="00020577">
      <w:pPr>
        <w:spacing w:after="0" w:line="240" w:lineRule="auto"/>
        <w:rPr>
          <w:sz w:val="24"/>
          <w:szCs w:val="24"/>
        </w:rPr>
      </w:pPr>
    </w:p>
    <w:p w14:paraId="3E30E9EA" w14:textId="77777777" w:rsidR="00506135" w:rsidRPr="00020577" w:rsidRDefault="00506135" w:rsidP="00020577">
      <w:pPr>
        <w:spacing w:after="0" w:line="240" w:lineRule="auto"/>
        <w:rPr>
          <w:sz w:val="24"/>
          <w:szCs w:val="24"/>
        </w:rPr>
      </w:pPr>
    </w:p>
    <w:p w14:paraId="758A874D" w14:textId="77777777" w:rsidR="00506135" w:rsidRPr="00020577" w:rsidRDefault="00506135" w:rsidP="00020577">
      <w:pPr>
        <w:spacing w:after="0" w:line="240" w:lineRule="auto"/>
        <w:rPr>
          <w:sz w:val="24"/>
          <w:szCs w:val="24"/>
        </w:rPr>
      </w:pPr>
    </w:p>
    <w:p w14:paraId="11BBC6B7" w14:textId="77777777" w:rsidR="0038532A" w:rsidRPr="00020577" w:rsidRDefault="0038532A" w:rsidP="00020577">
      <w:pPr>
        <w:spacing w:after="0" w:line="240" w:lineRule="auto"/>
        <w:rPr>
          <w:sz w:val="24"/>
          <w:szCs w:val="24"/>
        </w:rPr>
      </w:pPr>
    </w:p>
    <w:p w14:paraId="13BAD2D5" w14:textId="77777777" w:rsidR="00506135" w:rsidRDefault="00506135" w:rsidP="00020577">
      <w:pPr>
        <w:spacing w:after="0" w:line="240" w:lineRule="auto"/>
        <w:rPr>
          <w:sz w:val="24"/>
          <w:szCs w:val="24"/>
        </w:rPr>
      </w:pPr>
    </w:p>
    <w:p w14:paraId="4544A211" w14:textId="77777777" w:rsidR="00020577" w:rsidRDefault="00020577" w:rsidP="00020577">
      <w:pPr>
        <w:spacing w:after="0" w:line="240" w:lineRule="auto"/>
        <w:rPr>
          <w:sz w:val="24"/>
          <w:szCs w:val="24"/>
        </w:rPr>
      </w:pPr>
    </w:p>
    <w:p w14:paraId="0136EFFA" w14:textId="77777777" w:rsidR="00506135" w:rsidRPr="00020577" w:rsidRDefault="00506135" w:rsidP="00020577">
      <w:pPr>
        <w:spacing w:after="0" w:line="240" w:lineRule="auto"/>
        <w:rPr>
          <w:sz w:val="24"/>
          <w:szCs w:val="24"/>
        </w:rPr>
      </w:pPr>
    </w:p>
    <w:p w14:paraId="56EBFE8B" w14:textId="3CA76395" w:rsidR="00FD4A32" w:rsidRPr="00020577" w:rsidRDefault="00FD4A32" w:rsidP="00FD4A32">
      <w:pPr>
        <w:spacing w:after="0"/>
        <w:jc w:val="center"/>
        <w:rPr>
          <w:i/>
          <w:sz w:val="18"/>
          <w:szCs w:val="18"/>
        </w:rPr>
      </w:pPr>
      <w:r w:rsidRPr="00020577">
        <w:rPr>
          <w:i/>
          <w:sz w:val="18"/>
          <w:szCs w:val="18"/>
        </w:rPr>
        <w:t>Cover photo, left: Southeast of Hanceville, Hanceville-Riske Creek Fire. October 26, 2017</w:t>
      </w:r>
      <w:r w:rsidR="00746F90" w:rsidRPr="00020577">
        <w:rPr>
          <w:i/>
          <w:sz w:val="18"/>
          <w:szCs w:val="18"/>
        </w:rPr>
        <w:t>.</w:t>
      </w:r>
    </w:p>
    <w:p w14:paraId="5A60169F" w14:textId="7CA4106F" w:rsidR="00FD4A32" w:rsidRPr="00020577" w:rsidRDefault="00FD4A32" w:rsidP="00FD4A32">
      <w:pPr>
        <w:spacing w:after="0"/>
        <w:jc w:val="center"/>
        <w:rPr>
          <w:i/>
          <w:sz w:val="18"/>
          <w:szCs w:val="18"/>
        </w:rPr>
        <w:sectPr w:rsidR="00FD4A32" w:rsidRPr="00020577" w:rsidSect="004B6A63">
          <w:footerReference w:type="default" r:id="rId14"/>
          <w:footnotePr>
            <w:numFmt w:val="lowerRoman"/>
          </w:footnotePr>
          <w:pgSz w:w="12240" w:h="15840"/>
          <w:pgMar w:top="1440" w:right="1440" w:bottom="1440" w:left="1440" w:header="720" w:footer="720" w:gutter="0"/>
          <w:pgNumType w:start="1"/>
          <w:cols w:space="720"/>
          <w:titlePg/>
          <w:docGrid w:linePitch="360"/>
        </w:sectPr>
      </w:pPr>
      <w:r w:rsidRPr="00020577">
        <w:rPr>
          <w:i/>
          <w:sz w:val="18"/>
          <w:szCs w:val="18"/>
        </w:rPr>
        <w:t>Cover photo, right:</w:t>
      </w:r>
      <w:r w:rsidRPr="00020577">
        <w:t xml:space="preserve"> </w:t>
      </w:r>
      <w:r w:rsidRPr="00020577">
        <w:rPr>
          <w:i/>
          <w:sz w:val="18"/>
          <w:szCs w:val="18"/>
        </w:rPr>
        <w:t>North of Bishop Lake, Plateau Fire. September 27, 2017</w:t>
      </w:r>
      <w:r w:rsidR="00746F90" w:rsidRPr="00020577">
        <w:rPr>
          <w:i/>
          <w:sz w:val="18"/>
          <w:szCs w:val="18"/>
        </w:rPr>
        <w:t>.</w:t>
      </w:r>
    </w:p>
    <w:p w14:paraId="589EA109" w14:textId="77777777" w:rsidR="003B415C" w:rsidRDefault="003B415C" w:rsidP="00720BB9">
      <w:pPr>
        <w:pStyle w:val="Heading1"/>
        <w:spacing w:before="120"/>
      </w:pPr>
      <w:bookmarkStart w:id="0" w:name="_Toc503934732"/>
      <w:r>
        <w:lastRenderedPageBreak/>
        <w:t>Executive Summary</w:t>
      </w:r>
      <w:bookmarkEnd w:id="0"/>
    </w:p>
    <w:p w14:paraId="5894C131" w14:textId="55A90244" w:rsidR="003B415C" w:rsidRDefault="003B415C" w:rsidP="000567FC">
      <w:pPr>
        <w:pStyle w:val="ListParagraph"/>
        <w:spacing w:after="120" w:line="240" w:lineRule="auto"/>
        <w:ind w:left="0"/>
        <w:contextualSpacing w:val="0"/>
        <w:jc w:val="both"/>
      </w:pPr>
      <w:r>
        <w:t xml:space="preserve">This document provides guidance for </w:t>
      </w:r>
      <w:r w:rsidR="00984C51">
        <w:t>forest professionals</w:t>
      </w:r>
      <w:r>
        <w:t xml:space="preserve"> who will plan</w:t>
      </w:r>
      <w:r w:rsidRPr="001C4256">
        <w:t xml:space="preserve"> and </w:t>
      </w:r>
      <w:r>
        <w:t>implement</w:t>
      </w:r>
      <w:r w:rsidRPr="001C4256">
        <w:t xml:space="preserve"> retention strategies </w:t>
      </w:r>
      <w:r w:rsidR="00906EE2">
        <w:t xml:space="preserve">in areas that have experienced </w:t>
      </w:r>
      <w:r w:rsidR="00141EF8">
        <w:t xml:space="preserve">extensive </w:t>
      </w:r>
      <w:r w:rsidR="00906EE2">
        <w:t>nat</w:t>
      </w:r>
      <w:r w:rsidR="00EA4F92">
        <w:t xml:space="preserve">ural </w:t>
      </w:r>
      <w:r w:rsidR="00141EF8">
        <w:t>disturbances</w:t>
      </w:r>
      <w:r w:rsidR="00EA4F92">
        <w:t>.</w:t>
      </w:r>
      <w:r w:rsidR="00906EE2">
        <w:t xml:space="preserve"> </w:t>
      </w:r>
      <w:r w:rsidR="00656AA0">
        <w:t>Retention planning refers to the required planning for landscape connectivity, interior forest and intact ecosystem attributes (e.g., overstory trees</w:t>
      </w:r>
      <w:r w:rsidR="00254B65">
        <w:t>, vegetation communities, soils and</w:t>
      </w:r>
      <w:r w:rsidR="00656AA0">
        <w:t xml:space="preserve"> other live and decaying forest structure) that will be retained for habitat, hydrologic function, </w:t>
      </w:r>
      <w:proofErr w:type="gramStart"/>
      <w:r w:rsidR="00656AA0">
        <w:t>mid</w:t>
      </w:r>
      <w:proofErr w:type="gramEnd"/>
      <w:r w:rsidR="00656AA0">
        <w:t xml:space="preserve">-term timber supply and to support recovery at stand and landscape scales. </w:t>
      </w:r>
      <w:r w:rsidR="007610F7">
        <w:t>We provide this guidance</w:t>
      </w:r>
      <w:r w:rsidR="00333EE2">
        <w:t xml:space="preserve"> now</w:t>
      </w:r>
      <w:r w:rsidR="007610F7">
        <w:t xml:space="preserve"> </w:t>
      </w:r>
      <w:r w:rsidR="00333EE2">
        <w:t>due to</w:t>
      </w:r>
      <w:r w:rsidR="007610F7">
        <w:t xml:space="preserve"> the need </w:t>
      </w:r>
      <w:r w:rsidR="00F04C14">
        <w:t>for</w:t>
      </w:r>
      <w:r w:rsidR="007610F7">
        <w:t xml:space="preserve"> retention plan</w:t>
      </w:r>
      <w:r w:rsidR="00333EE2">
        <w:t>ning</w:t>
      </w:r>
      <w:r w:rsidR="007610F7">
        <w:t xml:space="preserve"> </w:t>
      </w:r>
      <w:r w:rsidR="00333EE2">
        <w:t xml:space="preserve">to guide </w:t>
      </w:r>
      <w:r>
        <w:t xml:space="preserve">salvage </w:t>
      </w:r>
      <w:r w:rsidR="001B0DBA">
        <w:t>logging</w:t>
      </w:r>
      <w:r>
        <w:t xml:space="preserve"> in areas affected by the 2017 wildfires.</w:t>
      </w:r>
    </w:p>
    <w:p w14:paraId="44C04209" w14:textId="623329C0" w:rsidR="006F056E" w:rsidRDefault="003B415C" w:rsidP="00C37BFA">
      <w:pPr>
        <w:pStyle w:val="ListParagraph"/>
        <w:spacing w:after="120" w:line="240" w:lineRule="auto"/>
        <w:ind w:left="0"/>
        <w:contextualSpacing w:val="0"/>
        <w:jc w:val="both"/>
      </w:pPr>
      <w:r>
        <w:t xml:space="preserve">Wildfire is part of the natural disturbance regime in the </w:t>
      </w:r>
      <w:r w:rsidR="00076562">
        <w:t>British Columbia</w:t>
      </w:r>
      <w:r>
        <w:t xml:space="preserve"> interior</w:t>
      </w:r>
      <w:r w:rsidR="005C781A">
        <w:t>;</w:t>
      </w:r>
      <w:r w:rsidRPr="00541C60">
        <w:t xml:space="preserve"> </w:t>
      </w:r>
      <w:r w:rsidR="005C781A">
        <w:t>h</w:t>
      </w:r>
      <w:r>
        <w:t xml:space="preserve">owever, at </w:t>
      </w:r>
      <w:r w:rsidR="009A410A">
        <w:t xml:space="preserve">an estimated </w:t>
      </w:r>
      <w:r>
        <w:t xml:space="preserve">1.2 million hectares, the 2017 wildfires are the most extensive on record. They caused significant </w:t>
      </w:r>
      <w:r w:rsidR="007610F7">
        <w:t xml:space="preserve">damage </w:t>
      </w:r>
      <w:r>
        <w:t xml:space="preserve">to many of the things we value in the forest. The enormity of the </w:t>
      </w:r>
      <w:r w:rsidR="00AD2298">
        <w:t>wildfires</w:t>
      </w:r>
      <w:r>
        <w:t>, combined with their occurrence in landscapes already heavily impacted by insect disturbance and salvage</w:t>
      </w:r>
      <w:r w:rsidR="009A410A">
        <w:t xml:space="preserve"> logging</w:t>
      </w:r>
      <w:r>
        <w:t xml:space="preserve">, warrants a correspondingly </w:t>
      </w:r>
      <w:r w:rsidR="00906EE2">
        <w:t xml:space="preserve">focused and informed </w:t>
      </w:r>
      <w:r>
        <w:t>approach to promoting recovery</w:t>
      </w:r>
      <w:r w:rsidR="009A410A">
        <w:t xml:space="preserve"> of the</w:t>
      </w:r>
      <w:r w:rsidR="000D77FB">
        <w:t>se</w:t>
      </w:r>
      <w:r w:rsidR="009A410A">
        <w:t xml:space="preserve"> landscape</w:t>
      </w:r>
      <w:r w:rsidR="000D77FB">
        <w:t>s</w:t>
      </w:r>
      <w:r>
        <w:t xml:space="preserve">. Salvage </w:t>
      </w:r>
      <w:r w:rsidR="001B0DBA">
        <w:t>logging</w:t>
      </w:r>
      <w:r>
        <w:t xml:space="preserve"> can have additional, interacting impacts on many </w:t>
      </w:r>
      <w:r w:rsidRPr="00AF62A9">
        <w:t xml:space="preserve">ecosystem </w:t>
      </w:r>
      <w:r w:rsidR="00422713">
        <w:t xml:space="preserve">values </w:t>
      </w:r>
      <w:r>
        <w:t xml:space="preserve">that were affected by the wildfires, </w:t>
      </w:r>
      <w:r w:rsidRPr="00AF62A9">
        <w:t xml:space="preserve">particularly those </w:t>
      </w:r>
      <w:r w:rsidR="009A410A">
        <w:t>values</w:t>
      </w:r>
      <w:r w:rsidR="009A410A" w:rsidRPr="00AF62A9">
        <w:t xml:space="preserve"> </w:t>
      </w:r>
      <w:r w:rsidRPr="00AF62A9">
        <w:t>related to soil productivity</w:t>
      </w:r>
      <w:r w:rsidR="00445DCD">
        <w:t>;</w:t>
      </w:r>
      <w:r w:rsidRPr="00AF62A9">
        <w:t xml:space="preserve"> </w:t>
      </w:r>
      <w:r w:rsidR="00BD2F5F">
        <w:t>habitat quality</w:t>
      </w:r>
      <w:r w:rsidR="00445DCD">
        <w:t xml:space="preserve"> and quantity;</w:t>
      </w:r>
      <w:r w:rsidR="00BD2F5F">
        <w:t xml:space="preserve"> </w:t>
      </w:r>
      <w:r w:rsidR="00445DCD">
        <w:t xml:space="preserve">and </w:t>
      </w:r>
      <w:r w:rsidRPr="00AF62A9">
        <w:t>water quality and water regulation.</w:t>
      </w:r>
      <w:r>
        <w:t xml:space="preserve"> </w:t>
      </w:r>
      <w:r w:rsidRPr="00AF62A9">
        <w:t>While salvage logging can be a pro-active</w:t>
      </w:r>
      <w:r w:rsidR="00906EE2" w:rsidRPr="00906EE2">
        <w:t xml:space="preserve"> </w:t>
      </w:r>
      <w:r w:rsidR="00906EE2">
        <w:t xml:space="preserve">and </w:t>
      </w:r>
      <w:r w:rsidR="00DE2623">
        <w:t>beneficial</w:t>
      </w:r>
      <w:r w:rsidR="00DE2623" w:rsidRPr="00AF62A9">
        <w:t xml:space="preserve"> </w:t>
      </w:r>
      <w:r w:rsidR="00DE2623">
        <w:t>component</w:t>
      </w:r>
      <w:r w:rsidR="00DE2623" w:rsidRPr="00AF62A9">
        <w:t xml:space="preserve"> </w:t>
      </w:r>
      <w:r w:rsidRPr="00AF62A9">
        <w:t>of a larger strategy for landscape recovery</w:t>
      </w:r>
      <w:r>
        <w:t>,</w:t>
      </w:r>
      <w:r w:rsidRPr="00AF62A9">
        <w:t xml:space="preserve"> it must be </w:t>
      </w:r>
      <w:r w:rsidR="00906EE2">
        <w:t>carefully coordinated with retention planning</w:t>
      </w:r>
      <w:r>
        <w:t>.</w:t>
      </w:r>
    </w:p>
    <w:p w14:paraId="4556D818" w14:textId="5FD589FB" w:rsidR="00B405C1" w:rsidRDefault="005C5914" w:rsidP="006F056E">
      <w:pPr>
        <w:pStyle w:val="ListParagraph"/>
        <w:spacing w:after="120" w:line="240" w:lineRule="auto"/>
        <w:ind w:left="0"/>
        <w:jc w:val="both"/>
      </w:pPr>
      <w:r>
        <w:t xml:space="preserve">Retention planning </w:t>
      </w:r>
      <w:r w:rsidR="00656AA0">
        <w:t>is</w:t>
      </w:r>
      <w:r>
        <w:t xml:space="preserve"> the responsibility of licensees who will conduct salvage </w:t>
      </w:r>
      <w:r w:rsidR="00797ADD">
        <w:t>logging</w:t>
      </w:r>
      <w:r>
        <w:t xml:space="preserve">. However, government expects that the planning will be done in full partnership with </w:t>
      </w:r>
      <w:r w:rsidR="009A410A">
        <w:t>impacted communities and</w:t>
      </w:r>
      <w:r w:rsidR="00FB4671">
        <w:t xml:space="preserve"> </w:t>
      </w:r>
      <w:r w:rsidR="007A3D47">
        <w:t>Indigenous people.</w:t>
      </w:r>
      <w:r>
        <w:t xml:space="preserve"> Government will ensure that appropriate planning is conducted.</w:t>
      </w:r>
      <w:r w:rsidR="00B405C1" w:rsidRPr="00B405C1">
        <w:t xml:space="preserve"> </w:t>
      </w:r>
    </w:p>
    <w:p w14:paraId="375B5659" w14:textId="2C1DBC26" w:rsidR="00906EE2" w:rsidRDefault="00141EF8" w:rsidP="006F056E">
      <w:pPr>
        <w:spacing w:after="0" w:line="240" w:lineRule="auto"/>
        <w:jc w:val="both"/>
      </w:pPr>
      <w:r>
        <w:t xml:space="preserve">When planning retention during salvage </w:t>
      </w:r>
      <w:r w:rsidR="001B0DBA">
        <w:t>logging</w:t>
      </w:r>
      <w:r w:rsidR="00856A78">
        <w:t>,</w:t>
      </w:r>
      <w:r>
        <w:t xml:space="preserve"> there are six points of overarching guidance that should be contemplated </w:t>
      </w:r>
      <w:r w:rsidRPr="00DC1FEE">
        <w:rPr>
          <w:u w:val="single"/>
        </w:rPr>
        <w:t>in order of priority</w:t>
      </w:r>
      <w:r w:rsidR="000633BF">
        <w:t>.</w:t>
      </w:r>
    </w:p>
    <w:p w14:paraId="460C567E" w14:textId="0BC7D5A0" w:rsidR="00906EE2" w:rsidRDefault="000633BF" w:rsidP="00906EE2">
      <w:pPr>
        <w:pStyle w:val="ListParagraph"/>
        <w:numPr>
          <w:ilvl w:val="0"/>
          <w:numId w:val="34"/>
        </w:numPr>
        <w:jc w:val="both"/>
      </w:pPr>
      <w:r>
        <w:t>E</w:t>
      </w:r>
      <w:r w:rsidR="00906EE2" w:rsidRPr="006E125D">
        <w:t>nsur</w:t>
      </w:r>
      <w:r w:rsidR="00906EE2">
        <w:t>e</w:t>
      </w:r>
      <w:r w:rsidR="00906EE2" w:rsidRPr="006E125D">
        <w:t xml:space="preserve"> human safety </w:t>
      </w:r>
      <w:r w:rsidR="00906EE2">
        <w:t>and m</w:t>
      </w:r>
      <w:r w:rsidR="00906EE2" w:rsidRPr="006E125D">
        <w:t>inimiz</w:t>
      </w:r>
      <w:r w:rsidR="00582911">
        <w:t>e</w:t>
      </w:r>
      <w:r w:rsidR="00906EE2" w:rsidRPr="006E125D">
        <w:t xml:space="preserve"> damage to </w:t>
      </w:r>
      <w:r w:rsidR="004B1BBD">
        <w:t>existing</w:t>
      </w:r>
      <w:r w:rsidR="004B1BBD" w:rsidRPr="006E125D">
        <w:t xml:space="preserve"> </w:t>
      </w:r>
      <w:r w:rsidR="00906EE2" w:rsidRPr="006E125D">
        <w:t>infrastructure</w:t>
      </w:r>
      <w:r>
        <w:t>.</w:t>
      </w:r>
    </w:p>
    <w:p w14:paraId="625F0885" w14:textId="1B9F8361" w:rsidR="00906EE2" w:rsidRDefault="000633BF" w:rsidP="00906EE2">
      <w:pPr>
        <w:pStyle w:val="ListParagraph"/>
        <w:numPr>
          <w:ilvl w:val="0"/>
          <w:numId w:val="34"/>
        </w:numPr>
        <w:tabs>
          <w:tab w:val="left" w:pos="6300"/>
        </w:tabs>
        <w:jc w:val="both"/>
      </w:pPr>
      <w:r>
        <w:t>S</w:t>
      </w:r>
      <w:r w:rsidR="00906EE2">
        <w:t>ustain</w:t>
      </w:r>
      <w:r w:rsidR="006833B1">
        <w:t xml:space="preserve">, restore or enhance </w:t>
      </w:r>
      <w:r w:rsidR="00843EDB">
        <w:t xml:space="preserve">the </w:t>
      </w:r>
      <w:r>
        <w:t xml:space="preserve">capacity </w:t>
      </w:r>
      <w:r w:rsidR="00843EDB">
        <w:t xml:space="preserve">of </w:t>
      </w:r>
      <w:r w:rsidR="00906EE2">
        <w:t>ecosystem</w:t>
      </w:r>
      <w:r w:rsidR="00843EDB">
        <w:t xml:space="preserve">s to provide </w:t>
      </w:r>
      <w:r w:rsidRPr="00422713">
        <w:t xml:space="preserve">ecosystem </w:t>
      </w:r>
      <w:r w:rsidR="00422713" w:rsidRPr="00422713">
        <w:t>values</w:t>
      </w:r>
      <w:r>
        <w:t>,</w:t>
      </w:r>
      <w:r w:rsidR="00906EE2">
        <w:t xml:space="preserve"> </w:t>
      </w:r>
      <w:r w:rsidR="00B405C1">
        <w:t>such as</w:t>
      </w:r>
      <w:r w:rsidR="00906EE2">
        <w:t xml:space="preserve"> </w:t>
      </w:r>
      <w:r>
        <w:t xml:space="preserve">those related to </w:t>
      </w:r>
      <w:r w:rsidR="00B405C1">
        <w:t xml:space="preserve">water quality and </w:t>
      </w:r>
      <w:r w:rsidR="00906EE2">
        <w:t>wildlife ha</w:t>
      </w:r>
      <w:r w:rsidR="006F056E">
        <w:t>bitat</w:t>
      </w:r>
      <w:r>
        <w:t>.</w:t>
      </w:r>
      <w:r w:rsidR="004B1BBD">
        <w:t xml:space="preserve"> </w:t>
      </w:r>
    </w:p>
    <w:p w14:paraId="72D6D3F8" w14:textId="70A16832" w:rsidR="00906EE2" w:rsidRDefault="000633BF" w:rsidP="00906EE2">
      <w:pPr>
        <w:pStyle w:val="ListParagraph"/>
        <w:numPr>
          <w:ilvl w:val="0"/>
          <w:numId w:val="34"/>
        </w:numPr>
        <w:tabs>
          <w:tab w:val="left" w:pos="6300"/>
        </w:tabs>
        <w:jc w:val="both"/>
      </w:pPr>
      <w:r>
        <w:t>C</w:t>
      </w:r>
      <w:r w:rsidR="00906EE2">
        <w:t>onsider the collective disturbances on the landscape</w:t>
      </w:r>
      <w:r w:rsidR="00B405C1">
        <w:t xml:space="preserve"> to</w:t>
      </w:r>
      <w:r w:rsidR="00906EE2">
        <w:t xml:space="preserve"> mitigate cumulative impacts on en</w:t>
      </w:r>
      <w:r w:rsidR="00B405C1">
        <w:t>vironmental and societal values</w:t>
      </w:r>
      <w:r>
        <w:t>.</w:t>
      </w:r>
    </w:p>
    <w:p w14:paraId="368EC263" w14:textId="60AD17FD" w:rsidR="00906EE2" w:rsidRDefault="000633BF" w:rsidP="00906EE2">
      <w:pPr>
        <w:pStyle w:val="ListParagraph"/>
        <w:numPr>
          <w:ilvl w:val="0"/>
          <w:numId w:val="34"/>
        </w:numPr>
        <w:jc w:val="both"/>
      </w:pPr>
      <w:r>
        <w:t>F</w:t>
      </w:r>
      <w:r w:rsidR="00906EE2">
        <w:t xml:space="preserve">acilitate </w:t>
      </w:r>
      <w:r>
        <w:t xml:space="preserve">the </w:t>
      </w:r>
      <w:r w:rsidR="00906EE2">
        <w:t>adaptation of forests to improv</w:t>
      </w:r>
      <w:r w:rsidR="00B405C1">
        <w:t>e resilience to climate change</w:t>
      </w:r>
      <w:r>
        <w:t>.</w:t>
      </w:r>
    </w:p>
    <w:p w14:paraId="1DC41C05" w14:textId="56D42EF3" w:rsidR="00906EE2" w:rsidRDefault="000633BF" w:rsidP="00906EE2">
      <w:pPr>
        <w:pStyle w:val="ListParagraph"/>
        <w:numPr>
          <w:ilvl w:val="0"/>
          <w:numId w:val="34"/>
        </w:numPr>
        <w:jc w:val="both"/>
      </w:pPr>
      <w:r>
        <w:t>M</w:t>
      </w:r>
      <w:r w:rsidR="00906EE2">
        <w:t xml:space="preserve">inimize impacts to timber supply by </w:t>
      </w:r>
      <w:r w:rsidR="004E10C8">
        <w:t xml:space="preserve">shifting </w:t>
      </w:r>
      <w:r w:rsidR="001B0DBA">
        <w:t>logging</w:t>
      </w:r>
      <w:r w:rsidR="00906EE2">
        <w:t xml:space="preserve"> </w:t>
      </w:r>
      <w:r w:rsidR="00BD2F5F">
        <w:t xml:space="preserve">from un-damaged stands to </w:t>
      </w:r>
      <w:r w:rsidR="00906EE2">
        <w:t>damaged stands wh</w:t>
      </w:r>
      <w:r w:rsidR="00B405C1">
        <w:t>erever possible</w:t>
      </w:r>
      <w:r>
        <w:t>.</w:t>
      </w:r>
    </w:p>
    <w:p w14:paraId="0773AD4F" w14:textId="38B74BE3" w:rsidR="00906EE2" w:rsidRDefault="000633BF" w:rsidP="00906EE2">
      <w:pPr>
        <w:pStyle w:val="ListParagraph"/>
        <w:numPr>
          <w:ilvl w:val="0"/>
          <w:numId w:val="34"/>
        </w:numPr>
        <w:jc w:val="both"/>
      </w:pPr>
      <w:r>
        <w:t>R</w:t>
      </w:r>
      <w:r w:rsidR="00906EE2">
        <w:t>ec</w:t>
      </w:r>
      <w:r w:rsidR="006F056E">
        <w:t>over</w:t>
      </w:r>
      <w:r w:rsidR="00DC1FEE">
        <w:t xml:space="preserve"> value from the </w:t>
      </w:r>
      <w:r w:rsidR="006F056E">
        <w:t>burnt timber</w:t>
      </w:r>
      <w:r w:rsidR="00DC1FEE">
        <w:t xml:space="preserve"> before the wood quality deteriorates</w:t>
      </w:r>
      <w:r w:rsidR="006F056E">
        <w:t xml:space="preserve">. </w:t>
      </w:r>
    </w:p>
    <w:p w14:paraId="66CB16F7" w14:textId="5E1C3774" w:rsidR="005C5914" w:rsidRDefault="00141EF8" w:rsidP="009E4F62">
      <w:pPr>
        <w:spacing w:after="120" w:line="240" w:lineRule="auto"/>
        <w:jc w:val="both"/>
      </w:pPr>
      <w:r>
        <w:t>In general</w:t>
      </w:r>
      <w:r w:rsidR="005C5914">
        <w:t xml:space="preserve">, those planning retention during salvage </w:t>
      </w:r>
      <w:r w:rsidR="001B0DBA">
        <w:t>logging</w:t>
      </w:r>
      <w:r w:rsidR="005C5914">
        <w:t xml:space="preserve"> should consider</w:t>
      </w:r>
      <w:r>
        <w:t xml:space="preserve"> human safety and the long-</w:t>
      </w:r>
      <w:r w:rsidR="005C5914">
        <w:t xml:space="preserve">term provision of </w:t>
      </w:r>
      <w:r w:rsidR="005C5914" w:rsidRPr="00422713">
        <w:t>ec</w:t>
      </w:r>
      <w:r w:rsidRPr="00422713">
        <w:t xml:space="preserve">osystem </w:t>
      </w:r>
      <w:r w:rsidR="00422713">
        <w:t xml:space="preserve">values </w:t>
      </w:r>
      <w:r>
        <w:t>over the short-</w:t>
      </w:r>
      <w:r w:rsidR="005C5914">
        <w:t xml:space="preserve">term economic gain obtained from salvaging the burnt timber. </w:t>
      </w:r>
      <w:r w:rsidR="004B1BBD">
        <w:t xml:space="preserve">Planning </w:t>
      </w:r>
      <w:r w:rsidR="005C5914">
        <w:t xml:space="preserve">should focus on what to retain, rather than on what to </w:t>
      </w:r>
      <w:r w:rsidR="00851265">
        <w:t>log</w:t>
      </w:r>
      <w:r w:rsidR="005C5914">
        <w:t>.</w:t>
      </w:r>
    </w:p>
    <w:p w14:paraId="4A3998B0" w14:textId="11161165" w:rsidR="000567FC" w:rsidRDefault="001B0DBA" w:rsidP="00C37BFA">
      <w:pPr>
        <w:spacing w:after="120" w:line="240" w:lineRule="auto"/>
        <w:jc w:val="both"/>
      </w:pPr>
      <w:r>
        <w:t>In this document, w</w:t>
      </w:r>
      <w:r w:rsidR="005C5914">
        <w:t xml:space="preserve">e provide </w:t>
      </w:r>
      <w:r w:rsidR="00906EE2">
        <w:t>guidance on retention for specific values</w:t>
      </w:r>
      <w:r w:rsidR="00BD2F5F">
        <w:t>,</w:t>
      </w:r>
      <w:r w:rsidR="00906EE2">
        <w:t xml:space="preserve"> and</w:t>
      </w:r>
      <w:r w:rsidR="00BD2F5F">
        <w:t xml:space="preserve"> </w:t>
      </w:r>
      <w:r w:rsidR="005C5914">
        <w:t xml:space="preserve">we reference </w:t>
      </w:r>
      <w:r w:rsidR="00BD2F5F">
        <w:t xml:space="preserve">other, </w:t>
      </w:r>
      <w:r w:rsidR="005C5914">
        <w:t xml:space="preserve">existing </w:t>
      </w:r>
      <w:r w:rsidR="00BD2F5F">
        <w:t xml:space="preserve">and emerging </w:t>
      </w:r>
      <w:r w:rsidR="005C5914">
        <w:t xml:space="preserve">sources of guidance </w:t>
      </w:r>
      <w:r w:rsidR="00906EE2">
        <w:t>on:</w:t>
      </w:r>
      <w:r w:rsidR="005C5914">
        <w:t xml:space="preserve"> planning considerations</w:t>
      </w:r>
      <w:r w:rsidR="00BD2F5F">
        <w:t>;</w:t>
      </w:r>
      <w:r w:rsidR="005C5914">
        <w:t xml:space="preserve"> safety</w:t>
      </w:r>
      <w:r w:rsidR="00BD2F5F">
        <w:t>;</w:t>
      </w:r>
      <w:r w:rsidR="005C5914">
        <w:t xml:space="preserve"> consideration of legal designations</w:t>
      </w:r>
      <w:r w:rsidR="00BD2F5F">
        <w:t>;</w:t>
      </w:r>
      <w:r w:rsidR="005C5914">
        <w:t xml:space="preserve"> timber supply</w:t>
      </w:r>
      <w:r w:rsidR="00BD2F5F">
        <w:t>;</w:t>
      </w:r>
      <w:r w:rsidR="005C5914">
        <w:t xml:space="preserve"> forest health</w:t>
      </w:r>
      <w:r w:rsidR="00BD2F5F">
        <w:t>;</w:t>
      </w:r>
      <w:r w:rsidR="005C5914">
        <w:t xml:space="preserve"> soil conservation and riparian management.</w:t>
      </w:r>
    </w:p>
    <w:p w14:paraId="5B0E565F" w14:textId="7F26EB3C" w:rsidR="00BD2F5F" w:rsidRDefault="00506135" w:rsidP="00906EE2">
      <w:pPr>
        <w:jc w:val="both"/>
      </w:pPr>
      <w:r>
        <w:t xml:space="preserve">This guidance </w:t>
      </w:r>
      <w:r w:rsidR="00036209">
        <w:t xml:space="preserve">is </w:t>
      </w:r>
      <w:r>
        <w:t>addition</w:t>
      </w:r>
      <w:r w:rsidR="00843EDB">
        <w:t xml:space="preserve">al </w:t>
      </w:r>
      <w:r>
        <w:t>to existing</w:t>
      </w:r>
      <w:r w:rsidR="00461B5E">
        <w:t xml:space="preserve"> </w:t>
      </w:r>
      <w:r>
        <w:t>policy and guidance, which remain</w:t>
      </w:r>
      <w:r w:rsidR="00DE2623">
        <w:t>s</w:t>
      </w:r>
      <w:r>
        <w:t xml:space="preserve"> in effect. </w:t>
      </w:r>
      <w:r w:rsidR="00AD20FC">
        <w:t>This guidance</w:t>
      </w:r>
      <w:r w:rsidR="00BD2F5F">
        <w:t xml:space="preserve"> i</w:t>
      </w:r>
      <w:r w:rsidR="00984C51" w:rsidRPr="00BD55B3">
        <w:t xml:space="preserve">s </w:t>
      </w:r>
      <w:r w:rsidR="00465779">
        <w:t>provided</w:t>
      </w:r>
      <w:r w:rsidR="00465779" w:rsidRPr="00BD55B3">
        <w:t xml:space="preserve"> </w:t>
      </w:r>
      <w:r w:rsidR="00984C51" w:rsidRPr="00BD55B3">
        <w:t xml:space="preserve">to increase the likelihood of achieving the results-based forestry outcomes </w:t>
      </w:r>
      <w:r w:rsidR="008709C1">
        <w:t xml:space="preserve">that </w:t>
      </w:r>
      <w:r w:rsidR="00984C51" w:rsidRPr="00BD55B3">
        <w:t>are expected on Crown lands</w:t>
      </w:r>
      <w:r w:rsidR="00984C51">
        <w:t>.</w:t>
      </w:r>
    </w:p>
    <w:p w14:paraId="4CB9CC38" w14:textId="4FC8D759" w:rsidR="00984C51" w:rsidRDefault="00984C51" w:rsidP="00906EE2">
      <w:pPr>
        <w:jc w:val="both"/>
      </w:pPr>
    </w:p>
    <w:bookmarkStart w:id="1" w:name="_Toc503934733" w:displacedByCustomXml="next"/>
    <w:sdt>
      <w:sdtPr>
        <w:rPr>
          <w:rFonts w:asciiTheme="minorHAnsi" w:eastAsiaTheme="minorHAnsi" w:hAnsiTheme="minorHAnsi" w:cstheme="minorBidi"/>
          <w:color w:val="auto"/>
          <w:sz w:val="22"/>
          <w:szCs w:val="22"/>
        </w:rPr>
        <w:id w:val="822480895"/>
        <w:docPartObj>
          <w:docPartGallery w:val="Table of Contents"/>
          <w:docPartUnique/>
        </w:docPartObj>
      </w:sdtPr>
      <w:sdtEndPr>
        <w:rPr>
          <w:b/>
          <w:bCs/>
          <w:noProof/>
        </w:rPr>
      </w:sdtEndPr>
      <w:sdtContent>
        <w:p w14:paraId="7ACAFE2B" w14:textId="5FD05B54" w:rsidR="006F5B40" w:rsidRPr="0087334D" w:rsidRDefault="006F5B40" w:rsidP="0087334D">
          <w:pPr>
            <w:pStyle w:val="Heading1"/>
            <w:rPr>
              <w:lang w:val="en-CA"/>
            </w:rPr>
          </w:pPr>
          <w:r>
            <w:t>Table of Contents</w:t>
          </w:r>
          <w:bookmarkEnd w:id="1"/>
        </w:p>
        <w:p w14:paraId="30E00636" w14:textId="77777777" w:rsidR="000D00D1" w:rsidRDefault="006F5B40" w:rsidP="000D00D1">
          <w:pPr>
            <w:pStyle w:val="TOC1"/>
            <w:tabs>
              <w:tab w:val="right" w:leader="dot" w:pos="9350"/>
            </w:tabs>
            <w:spacing w:after="0"/>
            <w:rPr>
              <w:rFonts w:eastAsiaTheme="minorEastAsia"/>
              <w:noProof/>
              <w:lang w:val="en-CA" w:eastAsia="en-CA"/>
            </w:rPr>
          </w:pPr>
          <w:r>
            <w:fldChar w:fldCharType="begin"/>
          </w:r>
          <w:r>
            <w:instrText xml:space="preserve"> TOC \o "1-3" \h \z \u </w:instrText>
          </w:r>
          <w:r>
            <w:fldChar w:fldCharType="separate"/>
          </w:r>
          <w:hyperlink w:anchor="_Toc503934732" w:history="1">
            <w:r w:rsidR="000D00D1" w:rsidRPr="00134EFC">
              <w:rPr>
                <w:rStyle w:val="Hyperlink"/>
                <w:noProof/>
              </w:rPr>
              <w:t>Executive Summary</w:t>
            </w:r>
            <w:r w:rsidR="000D00D1">
              <w:rPr>
                <w:noProof/>
                <w:webHidden/>
              </w:rPr>
              <w:tab/>
            </w:r>
            <w:r w:rsidR="000D00D1">
              <w:rPr>
                <w:noProof/>
                <w:webHidden/>
              </w:rPr>
              <w:fldChar w:fldCharType="begin"/>
            </w:r>
            <w:r w:rsidR="000D00D1">
              <w:rPr>
                <w:noProof/>
                <w:webHidden/>
              </w:rPr>
              <w:instrText xml:space="preserve"> PAGEREF _Toc503934732 \h </w:instrText>
            </w:r>
            <w:r w:rsidR="000D00D1">
              <w:rPr>
                <w:noProof/>
                <w:webHidden/>
              </w:rPr>
            </w:r>
            <w:r w:rsidR="000D00D1">
              <w:rPr>
                <w:noProof/>
                <w:webHidden/>
              </w:rPr>
              <w:fldChar w:fldCharType="separate"/>
            </w:r>
            <w:r w:rsidR="000D00D1">
              <w:rPr>
                <w:noProof/>
                <w:webHidden/>
              </w:rPr>
              <w:t>i</w:t>
            </w:r>
            <w:r w:rsidR="000D00D1">
              <w:rPr>
                <w:noProof/>
                <w:webHidden/>
              </w:rPr>
              <w:fldChar w:fldCharType="end"/>
            </w:r>
          </w:hyperlink>
        </w:p>
        <w:p w14:paraId="1D5B016A" w14:textId="77777777" w:rsidR="000D00D1" w:rsidRDefault="00085CDB" w:rsidP="000D00D1">
          <w:pPr>
            <w:pStyle w:val="TOC1"/>
            <w:tabs>
              <w:tab w:val="right" w:leader="dot" w:pos="9350"/>
            </w:tabs>
            <w:spacing w:after="0"/>
            <w:rPr>
              <w:rFonts w:eastAsiaTheme="minorEastAsia"/>
              <w:noProof/>
              <w:lang w:val="en-CA" w:eastAsia="en-CA"/>
            </w:rPr>
          </w:pPr>
          <w:hyperlink w:anchor="_Toc503934733" w:history="1">
            <w:r w:rsidR="000D00D1" w:rsidRPr="00134EFC">
              <w:rPr>
                <w:rStyle w:val="Hyperlink"/>
                <w:noProof/>
              </w:rPr>
              <w:t>Table of Contents</w:t>
            </w:r>
            <w:r w:rsidR="000D00D1">
              <w:rPr>
                <w:noProof/>
                <w:webHidden/>
              </w:rPr>
              <w:tab/>
            </w:r>
            <w:r w:rsidR="000D00D1">
              <w:rPr>
                <w:noProof/>
                <w:webHidden/>
              </w:rPr>
              <w:fldChar w:fldCharType="begin"/>
            </w:r>
            <w:r w:rsidR="000D00D1">
              <w:rPr>
                <w:noProof/>
                <w:webHidden/>
              </w:rPr>
              <w:instrText xml:space="preserve"> PAGEREF _Toc503934733 \h </w:instrText>
            </w:r>
            <w:r w:rsidR="000D00D1">
              <w:rPr>
                <w:noProof/>
                <w:webHidden/>
              </w:rPr>
            </w:r>
            <w:r w:rsidR="000D00D1">
              <w:rPr>
                <w:noProof/>
                <w:webHidden/>
              </w:rPr>
              <w:fldChar w:fldCharType="separate"/>
            </w:r>
            <w:r w:rsidR="000D00D1">
              <w:rPr>
                <w:noProof/>
                <w:webHidden/>
              </w:rPr>
              <w:t>ii</w:t>
            </w:r>
            <w:r w:rsidR="000D00D1">
              <w:rPr>
                <w:noProof/>
                <w:webHidden/>
              </w:rPr>
              <w:fldChar w:fldCharType="end"/>
            </w:r>
          </w:hyperlink>
        </w:p>
        <w:p w14:paraId="4751F109" w14:textId="77777777" w:rsidR="000D00D1" w:rsidRDefault="00085CDB" w:rsidP="000D00D1">
          <w:pPr>
            <w:pStyle w:val="TOC1"/>
            <w:tabs>
              <w:tab w:val="right" w:leader="dot" w:pos="9350"/>
            </w:tabs>
            <w:spacing w:after="0"/>
            <w:rPr>
              <w:rFonts w:eastAsiaTheme="minorEastAsia"/>
              <w:noProof/>
              <w:lang w:val="en-CA" w:eastAsia="en-CA"/>
            </w:rPr>
          </w:pPr>
          <w:hyperlink w:anchor="_Toc503934734" w:history="1">
            <w:r w:rsidR="000D00D1" w:rsidRPr="00134EFC">
              <w:rPr>
                <w:rStyle w:val="Hyperlink"/>
                <w:noProof/>
                <w:lang w:val="en-CA"/>
              </w:rPr>
              <w:t>About this Document</w:t>
            </w:r>
            <w:r w:rsidR="000D00D1">
              <w:rPr>
                <w:noProof/>
                <w:webHidden/>
              </w:rPr>
              <w:tab/>
            </w:r>
            <w:r w:rsidR="000D00D1">
              <w:rPr>
                <w:noProof/>
                <w:webHidden/>
              </w:rPr>
              <w:fldChar w:fldCharType="begin"/>
            </w:r>
            <w:r w:rsidR="000D00D1">
              <w:rPr>
                <w:noProof/>
                <w:webHidden/>
              </w:rPr>
              <w:instrText xml:space="preserve"> PAGEREF _Toc503934734 \h </w:instrText>
            </w:r>
            <w:r w:rsidR="000D00D1">
              <w:rPr>
                <w:noProof/>
                <w:webHidden/>
              </w:rPr>
            </w:r>
            <w:r w:rsidR="000D00D1">
              <w:rPr>
                <w:noProof/>
                <w:webHidden/>
              </w:rPr>
              <w:fldChar w:fldCharType="separate"/>
            </w:r>
            <w:r w:rsidR="000D00D1">
              <w:rPr>
                <w:noProof/>
                <w:webHidden/>
              </w:rPr>
              <w:t>1</w:t>
            </w:r>
            <w:r w:rsidR="000D00D1">
              <w:rPr>
                <w:noProof/>
                <w:webHidden/>
              </w:rPr>
              <w:fldChar w:fldCharType="end"/>
            </w:r>
          </w:hyperlink>
        </w:p>
        <w:p w14:paraId="2D98C295" w14:textId="77777777" w:rsidR="000D00D1" w:rsidRDefault="00085CDB" w:rsidP="000D00D1">
          <w:pPr>
            <w:pStyle w:val="TOC1"/>
            <w:tabs>
              <w:tab w:val="left" w:pos="440"/>
              <w:tab w:val="right" w:leader="dot" w:pos="9350"/>
            </w:tabs>
            <w:spacing w:after="0"/>
            <w:rPr>
              <w:rFonts w:eastAsiaTheme="minorEastAsia"/>
              <w:noProof/>
              <w:lang w:val="en-CA" w:eastAsia="en-CA"/>
            </w:rPr>
          </w:pPr>
          <w:hyperlink w:anchor="_Toc503934735" w:history="1">
            <w:r w:rsidR="000D00D1" w:rsidRPr="00134EFC">
              <w:rPr>
                <w:rStyle w:val="Hyperlink"/>
                <w:noProof/>
              </w:rPr>
              <w:t>1</w:t>
            </w:r>
            <w:r w:rsidR="000D00D1">
              <w:rPr>
                <w:rFonts w:eastAsiaTheme="minorEastAsia"/>
                <w:noProof/>
                <w:lang w:val="en-CA" w:eastAsia="en-CA"/>
              </w:rPr>
              <w:tab/>
            </w:r>
            <w:r w:rsidR="000D00D1" w:rsidRPr="00134EFC">
              <w:rPr>
                <w:rStyle w:val="Hyperlink"/>
                <w:noProof/>
              </w:rPr>
              <w:t>Introduction</w:t>
            </w:r>
            <w:r w:rsidR="000D00D1">
              <w:rPr>
                <w:noProof/>
                <w:webHidden/>
              </w:rPr>
              <w:tab/>
            </w:r>
            <w:r w:rsidR="000D00D1">
              <w:rPr>
                <w:noProof/>
                <w:webHidden/>
              </w:rPr>
              <w:fldChar w:fldCharType="begin"/>
            </w:r>
            <w:r w:rsidR="000D00D1">
              <w:rPr>
                <w:noProof/>
                <w:webHidden/>
              </w:rPr>
              <w:instrText xml:space="preserve"> PAGEREF _Toc503934735 \h </w:instrText>
            </w:r>
            <w:r w:rsidR="000D00D1">
              <w:rPr>
                <w:noProof/>
                <w:webHidden/>
              </w:rPr>
            </w:r>
            <w:r w:rsidR="000D00D1">
              <w:rPr>
                <w:noProof/>
                <w:webHidden/>
              </w:rPr>
              <w:fldChar w:fldCharType="separate"/>
            </w:r>
            <w:r w:rsidR="000D00D1">
              <w:rPr>
                <w:noProof/>
                <w:webHidden/>
              </w:rPr>
              <w:t>1</w:t>
            </w:r>
            <w:r w:rsidR="000D00D1">
              <w:rPr>
                <w:noProof/>
                <w:webHidden/>
              </w:rPr>
              <w:fldChar w:fldCharType="end"/>
            </w:r>
          </w:hyperlink>
        </w:p>
        <w:p w14:paraId="586D9F93" w14:textId="77777777" w:rsidR="000D00D1" w:rsidRDefault="00085CDB" w:rsidP="000D00D1">
          <w:pPr>
            <w:pStyle w:val="TOC1"/>
            <w:tabs>
              <w:tab w:val="left" w:pos="440"/>
              <w:tab w:val="right" w:leader="dot" w:pos="9350"/>
            </w:tabs>
            <w:spacing w:after="0"/>
            <w:rPr>
              <w:rFonts w:eastAsiaTheme="minorEastAsia"/>
              <w:noProof/>
              <w:lang w:val="en-CA" w:eastAsia="en-CA"/>
            </w:rPr>
          </w:pPr>
          <w:hyperlink w:anchor="_Toc503934736" w:history="1">
            <w:r w:rsidR="000D00D1" w:rsidRPr="00134EFC">
              <w:rPr>
                <w:rStyle w:val="Hyperlink"/>
                <w:noProof/>
              </w:rPr>
              <w:t>2</w:t>
            </w:r>
            <w:r w:rsidR="000D00D1">
              <w:rPr>
                <w:rFonts w:eastAsiaTheme="minorEastAsia"/>
                <w:noProof/>
                <w:lang w:val="en-CA" w:eastAsia="en-CA"/>
              </w:rPr>
              <w:tab/>
            </w:r>
            <w:r w:rsidR="000D00D1" w:rsidRPr="00134EFC">
              <w:rPr>
                <w:rStyle w:val="Hyperlink"/>
                <w:noProof/>
              </w:rPr>
              <w:t>Retention Guidance</w:t>
            </w:r>
            <w:r w:rsidR="000D00D1">
              <w:rPr>
                <w:noProof/>
                <w:webHidden/>
              </w:rPr>
              <w:tab/>
            </w:r>
            <w:r w:rsidR="000D00D1">
              <w:rPr>
                <w:noProof/>
                <w:webHidden/>
              </w:rPr>
              <w:fldChar w:fldCharType="begin"/>
            </w:r>
            <w:r w:rsidR="000D00D1">
              <w:rPr>
                <w:noProof/>
                <w:webHidden/>
              </w:rPr>
              <w:instrText xml:space="preserve"> PAGEREF _Toc503934736 \h </w:instrText>
            </w:r>
            <w:r w:rsidR="000D00D1">
              <w:rPr>
                <w:noProof/>
                <w:webHidden/>
              </w:rPr>
            </w:r>
            <w:r w:rsidR="000D00D1">
              <w:rPr>
                <w:noProof/>
                <w:webHidden/>
              </w:rPr>
              <w:fldChar w:fldCharType="separate"/>
            </w:r>
            <w:r w:rsidR="000D00D1">
              <w:rPr>
                <w:noProof/>
                <w:webHidden/>
              </w:rPr>
              <w:t>3</w:t>
            </w:r>
            <w:r w:rsidR="000D00D1">
              <w:rPr>
                <w:noProof/>
                <w:webHidden/>
              </w:rPr>
              <w:fldChar w:fldCharType="end"/>
            </w:r>
          </w:hyperlink>
        </w:p>
        <w:p w14:paraId="008FB541" w14:textId="77777777" w:rsidR="000D00D1" w:rsidRDefault="00085CDB" w:rsidP="000D00D1">
          <w:pPr>
            <w:pStyle w:val="TOC2"/>
            <w:tabs>
              <w:tab w:val="right" w:leader="dot" w:pos="9350"/>
            </w:tabs>
            <w:spacing w:after="0"/>
            <w:rPr>
              <w:rFonts w:eastAsiaTheme="minorEastAsia"/>
              <w:noProof/>
              <w:lang w:val="en-CA" w:eastAsia="en-CA"/>
            </w:rPr>
          </w:pPr>
          <w:hyperlink w:anchor="_Toc503934737" w:history="1">
            <w:r w:rsidR="000D00D1" w:rsidRPr="00134EFC">
              <w:rPr>
                <w:rStyle w:val="Hyperlink"/>
                <w:noProof/>
              </w:rPr>
              <w:t>Guidance for planning retention</w:t>
            </w:r>
            <w:r w:rsidR="000D00D1">
              <w:rPr>
                <w:noProof/>
                <w:webHidden/>
              </w:rPr>
              <w:tab/>
            </w:r>
            <w:r w:rsidR="000D00D1">
              <w:rPr>
                <w:noProof/>
                <w:webHidden/>
              </w:rPr>
              <w:fldChar w:fldCharType="begin"/>
            </w:r>
            <w:r w:rsidR="000D00D1">
              <w:rPr>
                <w:noProof/>
                <w:webHidden/>
              </w:rPr>
              <w:instrText xml:space="preserve"> PAGEREF _Toc503934737 \h </w:instrText>
            </w:r>
            <w:r w:rsidR="000D00D1">
              <w:rPr>
                <w:noProof/>
                <w:webHidden/>
              </w:rPr>
            </w:r>
            <w:r w:rsidR="000D00D1">
              <w:rPr>
                <w:noProof/>
                <w:webHidden/>
              </w:rPr>
              <w:fldChar w:fldCharType="separate"/>
            </w:r>
            <w:r w:rsidR="000D00D1">
              <w:rPr>
                <w:noProof/>
                <w:webHidden/>
              </w:rPr>
              <w:t>3</w:t>
            </w:r>
            <w:r w:rsidR="000D00D1">
              <w:rPr>
                <w:noProof/>
                <w:webHidden/>
              </w:rPr>
              <w:fldChar w:fldCharType="end"/>
            </w:r>
          </w:hyperlink>
        </w:p>
        <w:p w14:paraId="242932D7" w14:textId="77777777" w:rsidR="000D00D1" w:rsidRDefault="00085CDB" w:rsidP="000D00D1">
          <w:pPr>
            <w:pStyle w:val="TOC2"/>
            <w:tabs>
              <w:tab w:val="right" w:leader="dot" w:pos="9350"/>
            </w:tabs>
            <w:spacing w:after="0"/>
            <w:rPr>
              <w:rFonts w:eastAsiaTheme="minorEastAsia"/>
              <w:noProof/>
              <w:lang w:val="en-CA" w:eastAsia="en-CA"/>
            </w:rPr>
          </w:pPr>
          <w:hyperlink w:anchor="_Toc503934738" w:history="1">
            <w:r w:rsidR="000D00D1" w:rsidRPr="00134EFC">
              <w:rPr>
                <w:rStyle w:val="Hyperlink"/>
                <w:noProof/>
              </w:rPr>
              <w:t>Guidance for human safety &amp; infrastructure</w:t>
            </w:r>
            <w:r w:rsidR="000D00D1">
              <w:rPr>
                <w:noProof/>
                <w:webHidden/>
              </w:rPr>
              <w:tab/>
            </w:r>
            <w:r w:rsidR="000D00D1">
              <w:rPr>
                <w:noProof/>
                <w:webHidden/>
              </w:rPr>
              <w:fldChar w:fldCharType="begin"/>
            </w:r>
            <w:r w:rsidR="000D00D1">
              <w:rPr>
                <w:noProof/>
                <w:webHidden/>
              </w:rPr>
              <w:instrText xml:space="preserve"> PAGEREF _Toc503934738 \h </w:instrText>
            </w:r>
            <w:r w:rsidR="000D00D1">
              <w:rPr>
                <w:noProof/>
                <w:webHidden/>
              </w:rPr>
            </w:r>
            <w:r w:rsidR="000D00D1">
              <w:rPr>
                <w:noProof/>
                <w:webHidden/>
              </w:rPr>
              <w:fldChar w:fldCharType="separate"/>
            </w:r>
            <w:r w:rsidR="000D00D1">
              <w:rPr>
                <w:noProof/>
                <w:webHidden/>
              </w:rPr>
              <w:t>4</w:t>
            </w:r>
            <w:r w:rsidR="000D00D1">
              <w:rPr>
                <w:noProof/>
                <w:webHidden/>
              </w:rPr>
              <w:fldChar w:fldCharType="end"/>
            </w:r>
          </w:hyperlink>
        </w:p>
        <w:p w14:paraId="5B902CBC" w14:textId="77777777" w:rsidR="000D00D1" w:rsidRDefault="00085CDB" w:rsidP="000D00D1">
          <w:pPr>
            <w:pStyle w:val="TOC2"/>
            <w:tabs>
              <w:tab w:val="right" w:leader="dot" w:pos="9350"/>
            </w:tabs>
            <w:spacing w:after="0"/>
            <w:rPr>
              <w:rFonts w:eastAsiaTheme="minorEastAsia"/>
              <w:noProof/>
              <w:lang w:val="en-CA" w:eastAsia="en-CA"/>
            </w:rPr>
          </w:pPr>
          <w:hyperlink w:anchor="_Toc503934739" w:history="1">
            <w:r w:rsidR="000D00D1" w:rsidRPr="00134EFC">
              <w:rPr>
                <w:rStyle w:val="Hyperlink"/>
                <w:noProof/>
              </w:rPr>
              <w:t>Guidance for legally protected areas</w:t>
            </w:r>
            <w:r w:rsidR="000D00D1">
              <w:rPr>
                <w:noProof/>
                <w:webHidden/>
              </w:rPr>
              <w:tab/>
            </w:r>
            <w:r w:rsidR="000D00D1">
              <w:rPr>
                <w:noProof/>
                <w:webHidden/>
              </w:rPr>
              <w:fldChar w:fldCharType="begin"/>
            </w:r>
            <w:r w:rsidR="000D00D1">
              <w:rPr>
                <w:noProof/>
                <w:webHidden/>
              </w:rPr>
              <w:instrText xml:space="preserve"> PAGEREF _Toc503934739 \h </w:instrText>
            </w:r>
            <w:r w:rsidR="000D00D1">
              <w:rPr>
                <w:noProof/>
                <w:webHidden/>
              </w:rPr>
            </w:r>
            <w:r w:rsidR="000D00D1">
              <w:rPr>
                <w:noProof/>
                <w:webHidden/>
              </w:rPr>
              <w:fldChar w:fldCharType="separate"/>
            </w:r>
            <w:r w:rsidR="000D00D1">
              <w:rPr>
                <w:noProof/>
                <w:webHidden/>
              </w:rPr>
              <w:t>5</w:t>
            </w:r>
            <w:r w:rsidR="000D00D1">
              <w:rPr>
                <w:noProof/>
                <w:webHidden/>
              </w:rPr>
              <w:fldChar w:fldCharType="end"/>
            </w:r>
          </w:hyperlink>
        </w:p>
        <w:p w14:paraId="45110A57" w14:textId="77777777" w:rsidR="000D00D1" w:rsidRDefault="00085CDB" w:rsidP="000D00D1">
          <w:pPr>
            <w:pStyle w:val="TOC2"/>
            <w:tabs>
              <w:tab w:val="right" w:leader="dot" w:pos="9350"/>
            </w:tabs>
            <w:spacing w:after="0"/>
            <w:rPr>
              <w:rFonts w:eastAsiaTheme="minorEastAsia"/>
              <w:noProof/>
              <w:lang w:val="en-CA" w:eastAsia="en-CA"/>
            </w:rPr>
          </w:pPr>
          <w:hyperlink w:anchor="_Toc503934740" w:history="1">
            <w:r w:rsidR="000D00D1" w:rsidRPr="00134EFC">
              <w:rPr>
                <w:rStyle w:val="Hyperlink"/>
                <w:noProof/>
              </w:rPr>
              <w:t>Guidance for timber supply</w:t>
            </w:r>
            <w:r w:rsidR="000D00D1">
              <w:rPr>
                <w:noProof/>
                <w:webHidden/>
              </w:rPr>
              <w:tab/>
            </w:r>
            <w:r w:rsidR="000D00D1">
              <w:rPr>
                <w:noProof/>
                <w:webHidden/>
              </w:rPr>
              <w:fldChar w:fldCharType="begin"/>
            </w:r>
            <w:r w:rsidR="000D00D1">
              <w:rPr>
                <w:noProof/>
                <w:webHidden/>
              </w:rPr>
              <w:instrText xml:space="preserve"> PAGEREF _Toc503934740 \h </w:instrText>
            </w:r>
            <w:r w:rsidR="000D00D1">
              <w:rPr>
                <w:noProof/>
                <w:webHidden/>
              </w:rPr>
            </w:r>
            <w:r w:rsidR="000D00D1">
              <w:rPr>
                <w:noProof/>
                <w:webHidden/>
              </w:rPr>
              <w:fldChar w:fldCharType="separate"/>
            </w:r>
            <w:r w:rsidR="000D00D1">
              <w:rPr>
                <w:noProof/>
                <w:webHidden/>
              </w:rPr>
              <w:t>6</w:t>
            </w:r>
            <w:r w:rsidR="000D00D1">
              <w:rPr>
                <w:noProof/>
                <w:webHidden/>
              </w:rPr>
              <w:fldChar w:fldCharType="end"/>
            </w:r>
          </w:hyperlink>
        </w:p>
        <w:p w14:paraId="39C68C43" w14:textId="77777777" w:rsidR="000D00D1" w:rsidRDefault="00085CDB" w:rsidP="000D00D1">
          <w:pPr>
            <w:pStyle w:val="TOC2"/>
            <w:tabs>
              <w:tab w:val="right" w:leader="dot" w:pos="9350"/>
            </w:tabs>
            <w:spacing w:after="0"/>
            <w:rPr>
              <w:rFonts w:eastAsiaTheme="minorEastAsia"/>
              <w:noProof/>
              <w:lang w:val="en-CA" w:eastAsia="en-CA"/>
            </w:rPr>
          </w:pPr>
          <w:hyperlink w:anchor="_Toc503934741" w:history="1">
            <w:r w:rsidR="000D00D1" w:rsidRPr="00134EFC">
              <w:rPr>
                <w:rStyle w:val="Hyperlink"/>
                <w:noProof/>
              </w:rPr>
              <w:t>Guidance for managing forest health</w:t>
            </w:r>
            <w:r w:rsidR="000D00D1">
              <w:rPr>
                <w:noProof/>
                <w:webHidden/>
              </w:rPr>
              <w:tab/>
            </w:r>
            <w:r w:rsidR="000D00D1">
              <w:rPr>
                <w:noProof/>
                <w:webHidden/>
              </w:rPr>
              <w:fldChar w:fldCharType="begin"/>
            </w:r>
            <w:r w:rsidR="000D00D1">
              <w:rPr>
                <w:noProof/>
                <w:webHidden/>
              </w:rPr>
              <w:instrText xml:space="preserve"> PAGEREF _Toc503934741 \h </w:instrText>
            </w:r>
            <w:r w:rsidR="000D00D1">
              <w:rPr>
                <w:noProof/>
                <w:webHidden/>
              </w:rPr>
            </w:r>
            <w:r w:rsidR="000D00D1">
              <w:rPr>
                <w:noProof/>
                <w:webHidden/>
              </w:rPr>
              <w:fldChar w:fldCharType="separate"/>
            </w:r>
            <w:r w:rsidR="000D00D1">
              <w:rPr>
                <w:noProof/>
                <w:webHidden/>
              </w:rPr>
              <w:t>6</w:t>
            </w:r>
            <w:r w:rsidR="000D00D1">
              <w:rPr>
                <w:noProof/>
                <w:webHidden/>
              </w:rPr>
              <w:fldChar w:fldCharType="end"/>
            </w:r>
          </w:hyperlink>
        </w:p>
        <w:p w14:paraId="10FFCC52" w14:textId="77777777" w:rsidR="000D00D1" w:rsidRDefault="00085CDB" w:rsidP="000D00D1">
          <w:pPr>
            <w:pStyle w:val="TOC2"/>
            <w:tabs>
              <w:tab w:val="right" w:leader="dot" w:pos="9350"/>
            </w:tabs>
            <w:spacing w:after="0"/>
            <w:rPr>
              <w:rFonts w:eastAsiaTheme="minorEastAsia"/>
              <w:noProof/>
              <w:lang w:val="en-CA" w:eastAsia="en-CA"/>
            </w:rPr>
          </w:pPr>
          <w:hyperlink w:anchor="_Toc503934742" w:history="1">
            <w:r w:rsidR="000D00D1" w:rsidRPr="00134EFC">
              <w:rPr>
                <w:rStyle w:val="Hyperlink"/>
                <w:noProof/>
              </w:rPr>
              <w:t>Guidance for soil conservation</w:t>
            </w:r>
            <w:r w:rsidR="000D00D1">
              <w:rPr>
                <w:noProof/>
                <w:webHidden/>
              </w:rPr>
              <w:tab/>
            </w:r>
            <w:r w:rsidR="000D00D1">
              <w:rPr>
                <w:noProof/>
                <w:webHidden/>
              </w:rPr>
              <w:fldChar w:fldCharType="begin"/>
            </w:r>
            <w:r w:rsidR="000D00D1">
              <w:rPr>
                <w:noProof/>
                <w:webHidden/>
              </w:rPr>
              <w:instrText xml:space="preserve"> PAGEREF _Toc503934742 \h </w:instrText>
            </w:r>
            <w:r w:rsidR="000D00D1">
              <w:rPr>
                <w:noProof/>
                <w:webHidden/>
              </w:rPr>
            </w:r>
            <w:r w:rsidR="000D00D1">
              <w:rPr>
                <w:noProof/>
                <w:webHidden/>
              </w:rPr>
              <w:fldChar w:fldCharType="separate"/>
            </w:r>
            <w:r w:rsidR="000D00D1">
              <w:rPr>
                <w:noProof/>
                <w:webHidden/>
              </w:rPr>
              <w:t>7</w:t>
            </w:r>
            <w:r w:rsidR="000D00D1">
              <w:rPr>
                <w:noProof/>
                <w:webHidden/>
              </w:rPr>
              <w:fldChar w:fldCharType="end"/>
            </w:r>
          </w:hyperlink>
        </w:p>
        <w:p w14:paraId="404E216F" w14:textId="77777777" w:rsidR="000D00D1" w:rsidRDefault="00085CDB" w:rsidP="000D00D1">
          <w:pPr>
            <w:pStyle w:val="TOC2"/>
            <w:tabs>
              <w:tab w:val="right" w:leader="dot" w:pos="9350"/>
            </w:tabs>
            <w:spacing w:after="0"/>
            <w:rPr>
              <w:rFonts w:eastAsiaTheme="minorEastAsia"/>
              <w:noProof/>
              <w:lang w:val="en-CA" w:eastAsia="en-CA"/>
            </w:rPr>
          </w:pPr>
          <w:hyperlink w:anchor="_Toc503934743" w:history="1">
            <w:r w:rsidR="000D00D1" w:rsidRPr="00134EFC">
              <w:rPr>
                <w:rStyle w:val="Hyperlink"/>
                <w:rFonts w:eastAsia="Times New Roman"/>
                <w:noProof/>
                <w:lang w:eastAsia="en-CA"/>
              </w:rPr>
              <w:t>Guidance for riparian management</w:t>
            </w:r>
            <w:r w:rsidR="000D00D1">
              <w:rPr>
                <w:noProof/>
                <w:webHidden/>
              </w:rPr>
              <w:tab/>
            </w:r>
            <w:r w:rsidR="000D00D1">
              <w:rPr>
                <w:noProof/>
                <w:webHidden/>
              </w:rPr>
              <w:fldChar w:fldCharType="begin"/>
            </w:r>
            <w:r w:rsidR="000D00D1">
              <w:rPr>
                <w:noProof/>
                <w:webHidden/>
              </w:rPr>
              <w:instrText xml:space="preserve"> PAGEREF _Toc503934743 \h </w:instrText>
            </w:r>
            <w:r w:rsidR="000D00D1">
              <w:rPr>
                <w:noProof/>
                <w:webHidden/>
              </w:rPr>
            </w:r>
            <w:r w:rsidR="000D00D1">
              <w:rPr>
                <w:noProof/>
                <w:webHidden/>
              </w:rPr>
              <w:fldChar w:fldCharType="separate"/>
            </w:r>
            <w:r w:rsidR="000D00D1">
              <w:rPr>
                <w:noProof/>
                <w:webHidden/>
              </w:rPr>
              <w:t>8</w:t>
            </w:r>
            <w:r w:rsidR="000D00D1">
              <w:rPr>
                <w:noProof/>
                <w:webHidden/>
              </w:rPr>
              <w:fldChar w:fldCharType="end"/>
            </w:r>
          </w:hyperlink>
        </w:p>
        <w:p w14:paraId="10656948" w14:textId="77777777" w:rsidR="000D00D1" w:rsidRDefault="00085CDB" w:rsidP="000D00D1">
          <w:pPr>
            <w:pStyle w:val="TOC2"/>
            <w:tabs>
              <w:tab w:val="right" w:leader="dot" w:pos="9350"/>
            </w:tabs>
            <w:spacing w:after="0"/>
            <w:rPr>
              <w:rFonts w:eastAsiaTheme="minorEastAsia"/>
              <w:noProof/>
              <w:lang w:val="en-CA" w:eastAsia="en-CA"/>
            </w:rPr>
          </w:pPr>
          <w:hyperlink w:anchor="_Toc503934744" w:history="1">
            <w:r w:rsidR="000D00D1" w:rsidRPr="00134EFC">
              <w:rPr>
                <w:rStyle w:val="Hyperlink"/>
                <w:noProof/>
                <w:lang w:val="en-CA"/>
              </w:rPr>
              <w:t>Institutional considerations</w:t>
            </w:r>
            <w:r w:rsidR="000D00D1">
              <w:rPr>
                <w:noProof/>
                <w:webHidden/>
              </w:rPr>
              <w:tab/>
            </w:r>
            <w:r w:rsidR="000D00D1">
              <w:rPr>
                <w:noProof/>
                <w:webHidden/>
              </w:rPr>
              <w:fldChar w:fldCharType="begin"/>
            </w:r>
            <w:r w:rsidR="000D00D1">
              <w:rPr>
                <w:noProof/>
                <w:webHidden/>
              </w:rPr>
              <w:instrText xml:space="preserve"> PAGEREF _Toc503934744 \h </w:instrText>
            </w:r>
            <w:r w:rsidR="000D00D1">
              <w:rPr>
                <w:noProof/>
                <w:webHidden/>
              </w:rPr>
            </w:r>
            <w:r w:rsidR="000D00D1">
              <w:rPr>
                <w:noProof/>
                <w:webHidden/>
              </w:rPr>
              <w:fldChar w:fldCharType="separate"/>
            </w:r>
            <w:r w:rsidR="000D00D1">
              <w:rPr>
                <w:noProof/>
                <w:webHidden/>
              </w:rPr>
              <w:t>8</w:t>
            </w:r>
            <w:r w:rsidR="000D00D1">
              <w:rPr>
                <w:noProof/>
                <w:webHidden/>
              </w:rPr>
              <w:fldChar w:fldCharType="end"/>
            </w:r>
          </w:hyperlink>
        </w:p>
        <w:p w14:paraId="1D84AD59" w14:textId="77777777" w:rsidR="000D00D1" w:rsidRDefault="00085CDB" w:rsidP="000D00D1">
          <w:pPr>
            <w:pStyle w:val="TOC2"/>
            <w:tabs>
              <w:tab w:val="right" w:leader="dot" w:pos="9350"/>
            </w:tabs>
            <w:spacing w:after="0"/>
            <w:rPr>
              <w:rFonts w:eastAsiaTheme="minorEastAsia"/>
              <w:noProof/>
              <w:lang w:val="en-CA" w:eastAsia="en-CA"/>
            </w:rPr>
          </w:pPr>
          <w:hyperlink w:anchor="_Toc503934745" w:history="1">
            <w:r w:rsidR="000D00D1" w:rsidRPr="00134EFC">
              <w:rPr>
                <w:rStyle w:val="Hyperlink"/>
                <w:noProof/>
              </w:rPr>
              <w:t>Additional guidance references</w:t>
            </w:r>
            <w:r w:rsidR="000D00D1">
              <w:rPr>
                <w:noProof/>
                <w:webHidden/>
              </w:rPr>
              <w:tab/>
            </w:r>
            <w:r w:rsidR="000D00D1">
              <w:rPr>
                <w:noProof/>
                <w:webHidden/>
              </w:rPr>
              <w:fldChar w:fldCharType="begin"/>
            </w:r>
            <w:r w:rsidR="000D00D1">
              <w:rPr>
                <w:noProof/>
                <w:webHidden/>
              </w:rPr>
              <w:instrText xml:space="preserve"> PAGEREF _Toc503934745 \h </w:instrText>
            </w:r>
            <w:r w:rsidR="000D00D1">
              <w:rPr>
                <w:noProof/>
                <w:webHidden/>
              </w:rPr>
            </w:r>
            <w:r w:rsidR="000D00D1">
              <w:rPr>
                <w:noProof/>
                <w:webHidden/>
              </w:rPr>
              <w:fldChar w:fldCharType="separate"/>
            </w:r>
            <w:r w:rsidR="000D00D1">
              <w:rPr>
                <w:noProof/>
                <w:webHidden/>
              </w:rPr>
              <w:t>8</w:t>
            </w:r>
            <w:r w:rsidR="000D00D1">
              <w:rPr>
                <w:noProof/>
                <w:webHidden/>
              </w:rPr>
              <w:fldChar w:fldCharType="end"/>
            </w:r>
          </w:hyperlink>
        </w:p>
        <w:p w14:paraId="05FB0009" w14:textId="77777777" w:rsidR="000D00D1" w:rsidRDefault="00085CDB" w:rsidP="000D00D1">
          <w:pPr>
            <w:pStyle w:val="TOC1"/>
            <w:tabs>
              <w:tab w:val="left" w:pos="440"/>
              <w:tab w:val="right" w:leader="dot" w:pos="9350"/>
            </w:tabs>
            <w:spacing w:after="0"/>
            <w:rPr>
              <w:rFonts w:eastAsiaTheme="minorEastAsia"/>
              <w:noProof/>
              <w:lang w:val="en-CA" w:eastAsia="en-CA"/>
            </w:rPr>
          </w:pPr>
          <w:hyperlink w:anchor="_Toc503934746" w:history="1">
            <w:r w:rsidR="000D00D1" w:rsidRPr="00134EFC">
              <w:rPr>
                <w:rStyle w:val="Hyperlink"/>
                <w:noProof/>
              </w:rPr>
              <w:t>3</w:t>
            </w:r>
            <w:r w:rsidR="000D00D1">
              <w:rPr>
                <w:rFonts w:eastAsiaTheme="minorEastAsia"/>
                <w:noProof/>
                <w:lang w:val="en-CA" w:eastAsia="en-CA"/>
              </w:rPr>
              <w:tab/>
            </w:r>
            <w:r w:rsidR="000D00D1" w:rsidRPr="00134EFC">
              <w:rPr>
                <w:rStyle w:val="Hyperlink"/>
                <w:noProof/>
              </w:rPr>
              <w:t>The 2017 wildfires in context</w:t>
            </w:r>
            <w:r w:rsidR="000D00D1">
              <w:rPr>
                <w:noProof/>
                <w:webHidden/>
              </w:rPr>
              <w:tab/>
            </w:r>
            <w:r w:rsidR="000D00D1">
              <w:rPr>
                <w:noProof/>
                <w:webHidden/>
              </w:rPr>
              <w:fldChar w:fldCharType="begin"/>
            </w:r>
            <w:r w:rsidR="000D00D1">
              <w:rPr>
                <w:noProof/>
                <w:webHidden/>
              </w:rPr>
              <w:instrText xml:space="preserve"> PAGEREF _Toc503934746 \h </w:instrText>
            </w:r>
            <w:r w:rsidR="000D00D1">
              <w:rPr>
                <w:noProof/>
                <w:webHidden/>
              </w:rPr>
            </w:r>
            <w:r w:rsidR="000D00D1">
              <w:rPr>
                <w:noProof/>
                <w:webHidden/>
              </w:rPr>
              <w:fldChar w:fldCharType="separate"/>
            </w:r>
            <w:r w:rsidR="000D00D1">
              <w:rPr>
                <w:noProof/>
                <w:webHidden/>
              </w:rPr>
              <w:t>10</w:t>
            </w:r>
            <w:r w:rsidR="000D00D1">
              <w:rPr>
                <w:noProof/>
                <w:webHidden/>
              </w:rPr>
              <w:fldChar w:fldCharType="end"/>
            </w:r>
          </w:hyperlink>
        </w:p>
        <w:p w14:paraId="093CFE70" w14:textId="77777777" w:rsidR="000D00D1" w:rsidRDefault="00085CDB" w:rsidP="000D00D1">
          <w:pPr>
            <w:pStyle w:val="TOC2"/>
            <w:tabs>
              <w:tab w:val="right" w:leader="dot" w:pos="9350"/>
            </w:tabs>
            <w:spacing w:after="0"/>
            <w:rPr>
              <w:rFonts w:eastAsiaTheme="minorEastAsia"/>
              <w:noProof/>
              <w:lang w:val="en-CA" w:eastAsia="en-CA"/>
            </w:rPr>
          </w:pPr>
          <w:hyperlink w:anchor="_Toc503934747" w:history="1">
            <w:r w:rsidR="000D00D1" w:rsidRPr="00134EFC">
              <w:rPr>
                <w:rStyle w:val="Hyperlink"/>
                <w:noProof/>
              </w:rPr>
              <w:t>Area burned</w:t>
            </w:r>
            <w:r w:rsidR="000D00D1">
              <w:rPr>
                <w:noProof/>
                <w:webHidden/>
              </w:rPr>
              <w:tab/>
            </w:r>
            <w:r w:rsidR="000D00D1">
              <w:rPr>
                <w:noProof/>
                <w:webHidden/>
              </w:rPr>
              <w:fldChar w:fldCharType="begin"/>
            </w:r>
            <w:r w:rsidR="000D00D1">
              <w:rPr>
                <w:noProof/>
                <w:webHidden/>
              </w:rPr>
              <w:instrText xml:space="preserve"> PAGEREF _Toc503934747 \h </w:instrText>
            </w:r>
            <w:r w:rsidR="000D00D1">
              <w:rPr>
                <w:noProof/>
                <w:webHidden/>
              </w:rPr>
            </w:r>
            <w:r w:rsidR="000D00D1">
              <w:rPr>
                <w:noProof/>
                <w:webHidden/>
              </w:rPr>
              <w:fldChar w:fldCharType="separate"/>
            </w:r>
            <w:r w:rsidR="000D00D1">
              <w:rPr>
                <w:noProof/>
                <w:webHidden/>
              </w:rPr>
              <w:t>10</w:t>
            </w:r>
            <w:r w:rsidR="000D00D1">
              <w:rPr>
                <w:noProof/>
                <w:webHidden/>
              </w:rPr>
              <w:fldChar w:fldCharType="end"/>
            </w:r>
          </w:hyperlink>
        </w:p>
        <w:p w14:paraId="03F9C5C4" w14:textId="77777777" w:rsidR="000D00D1" w:rsidRDefault="00085CDB" w:rsidP="000D00D1">
          <w:pPr>
            <w:pStyle w:val="TOC2"/>
            <w:tabs>
              <w:tab w:val="right" w:leader="dot" w:pos="9350"/>
            </w:tabs>
            <w:spacing w:after="0"/>
            <w:rPr>
              <w:rFonts w:eastAsiaTheme="minorEastAsia"/>
              <w:noProof/>
              <w:lang w:val="en-CA" w:eastAsia="en-CA"/>
            </w:rPr>
          </w:pPr>
          <w:hyperlink w:anchor="_Toc503934748" w:history="1">
            <w:r w:rsidR="000D00D1" w:rsidRPr="00134EFC">
              <w:rPr>
                <w:rStyle w:val="Hyperlink"/>
                <w:noProof/>
              </w:rPr>
              <w:t>Effects on forest ecosystems and age classes, effects of burn severity on timber volume</w:t>
            </w:r>
            <w:r w:rsidR="000D00D1">
              <w:rPr>
                <w:noProof/>
                <w:webHidden/>
              </w:rPr>
              <w:tab/>
            </w:r>
            <w:r w:rsidR="000D00D1">
              <w:rPr>
                <w:noProof/>
                <w:webHidden/>
              </w:rPr>
              <w:fldChar w:fldCharType="begin"/>
            </w:r>
            <w:r w:rsidR="000D00D1">
              <w:rPr>
                <w:noProof/>
                <w:webHidden/>
              </w:rPr>
              <w:instrText xml:space="preserve"> PAGEREF _Toc503934748 \h </w:instrText>
            </w:r>
            <w:r w:rsidR="000D00D1">
              <w:rPr>
                <w:noProof/>
                <w:webHidden/>
              </w:rPr>
            </w:r>
            <w:r w:rsidR="000D00D1">
              <w:rPr>
                <w:noProof/>
                <w:webHidden/>
              </w:rPr>
              <w:fldChar w:fldCharType="separate"/>
            </w:r>
            <w:r w:rsidR="000D00D1">
              <w:rPr>
                <w:noProof/>
                <w:webHidden/>
              </w:rPr>
              <w:t>11</w:t>
            </w:r>
            <w:r w:rsidR="000D00D1">
              <w:rPr>
                <w:noProof/>
                <w:webHidden/>
              </w:rPr>
              <w:fldChar w:fldCharType="end"/>
            </w:r>
          </w:hyperlink>
        </w:p>
        <w:p w14:paraId="202490B9" w14:textId="77777777" w:rsidR="000D00D1" w:rsidRDefault="00085CDB" w:rsidP="000D00D1">
          <w:pPr>
            <w:pStyle w:val="TOC2"/>
            <w:tabs>
              <w:tab w:val="right" w:leader="dot" w:pos="9350"/>
            </w:tabs>
            <w:spacing w:after="0"/>
            <w:rPr>
              <w:rFonts w:eastAsiaTheme="minorEastAsia"/>
              <w:noProof/>
              <w:lang w:val="en-CA" w:eastAsia="en-CA"/>
            </w:rPr>
          </w:pPr>
          <w:hyperlink w:anchor="_Toc503934749" w:history="1">
            <w:r w:rsidR="000D00D1" w:rsidRPr="00134EFC">
              <w:rPr>
                <w:rStyle w:val="Hyperlink"/>
                <w:noProof/>
              </w:rPr>
              <w:t>Effects on special management areas</w:t>
            </w:r>
            <w:r w:rsidR="000D00D1">
              <w:rPr>
                <w:noProof/>
                <w:webHidden/>
              </w:rPr>
              <w:tab/>
            </w:r>
            <w:r w:rsidR="000D00D1">
              <w:rPr>
                <w:noProof/>
                <w:webHidden/>
              </w:rPr>
              <w:fldChar w:fldCharType="begin"/>
            </w:r>
            <w:r w:rsidR="000D00D1">
              <w:rPr>
                <w:noProof/>
                <w:webHidden/>
              </w:rPr>
              <w:instrText xml:space="preserve"> PAGEREF _Toc503934749 \h </w:instrText>
            </w:r>
            <w:r w:rsidR="000D00D1">
              <w:rPr>
                <w:noProof/>
                <w:webHidden/>
              </w:rPr>
            </w:r>
            <w:r w:rsidR="000D00D1">
              <w:rPr>
                <w:noProof/>
                <w:webHidden/>
              </w:rPr>
              <w:fldChar w:fldCharType="separate"/>
            </w:r>
            <w:r w:rsidR="000D00D1">
              <w:rPr>
                <w:noProof/>
                <w:webHidden/>
              </w:rPr>
              <w:t>13</w:t>
            </w:r>
            <w:r w:rsidR="000D00D1">
              <w:rPr>
                <w:noProof/>
                <w:webHidden/>
              </w:rPr>
              <w:fldChar w:fldCharType="end"/>
            </w:r>
          </w:hyperlink>
        </w:p>
        <w:p w14:paraId="35D0DC9A" w14:textId="77777777" w:rsidR="000D00D1" w:rsidRDefault="00085CDB" w:rsidP="000D00D1">
          <w:pPr>
            <w:pStyle w:val="TOC2"/>
            <w:tabs>
              <w:tab w:val="right" w:leader="dot" w:pos="9350"/>
            </w:tabs>
            <w:spacing w:after="0"/>
            <w:rPr>
              <w:rFonts w:eastAsiaTheme="minorEastAsia"/>
              <w:noProof/>
              <w:lang w:val="en-CA" w:eastAsia="en-CA"/>
            </w:rPr>
          </w:pPr>
          <w:hyperlink w:anchor="_Toc503934750" w:history="1">
            <w:r w:rsidR="000D00D1" w:rsidRPr="00134EFC">
              <w:rPr>
                <w:rStyle w:val="Hyperlink"/>
                <w:noProof/>
              </w:rPr>
              <w:t>Forest health considerations</w:t>
            </w:r>
            <w:r w:rsidR="000D00D1">
              <w:rPr>
                <w:noProof/>
                <w:webHidden/>
              </w:rPr>
              <w:tab/>
            </w:r>
            <w:r w:rsidR="000D00D1">
              <w:rPr>
                <w:noProof/>
                <w:webHidden/>
              </w:rPr>
              <w:fldChar w:fldCharType="begin"/>
            </w:r>
            <w:r w:rsidR="000D00D1">
              <w:rPr>
                <w:noProof/>
                <w:webHidden/>
              </w:rPr>
              <w:instrText xml:space="preserve"> PAGEREF _Toc503934750 \h </w:instrText>
            </w:r>
            <w:r w:rsidR="000D00D1">
              <w:rPr>
                <w:noProof/>
                <w:webHidden/>
              </w:rPr>
            </w:r>
            <w:r w:rsidR="000D00D1">
              <w:rPr>
                <w:noProof/>
                <w:webHidden/>
              </w:rPr>
              <w:fldChar w:fldCharType="separate"/>
            </w:r>
            <w:r w:rsidR="000D00D1">
              <w:rPr>
                <w:noProof/>
                <w:webHidden/>
              </w:rPr>
              <w:t>15</w:t>
            </w:r>
            <w:r w:rsidR="000D00D1">
              <w:rPr>
                <w:noProof/>
                <w:webHidden/>
              </w:rPr>
              <w:fldChar w:fldCharType="end"/>
            </w:r>
          </w:hyperlink>
        </w:p>
        <w:p w14:paraId="28ABE028" w14:textId="77777777" w:rsidR="000D00D1" w:rsidRDefault="00085CDB" w:rsidP="000D00D1">
          <w:pPr>
            <w:pStyle w:val="TOC1"/>
            <w:tabs>
              <w:tab w:val="left" w:pos="440"/>
              <w:tab w:val="right" w:leader="dot" w:pos="9350"/>
            </w:tabs>
            <w:spacing w:after="0"/>
            <w:rPr>
              <w:rFonts w:eastAsiaTheme="minorEastAsia"/>
              <w:noProof/>
              <w:lang w:val="en-CA" w:eastAsia="en-CA"/>
            </w:rPr>
          </w:pPr>
          <w:hyperlink w:anchor="_Toc503934751" w:history="1">
            <w:r w:rsidR="000D00D1" w:rsidRPr="00134EFC">
              <w:rPr>
                <w:rStyle w:val="Hyperlink"/>
                <w:noProof/>
              </w:rPr>
              <w:t>4</w:t>
            </w:r>
            <w:r w:rsidR="000D00D1">
              <w:rPr>
                <w:rFonts w:eastAsiaTheme="minorEastAsia"/>
                <w:noProof/>
                <w:lang w:val="en-CA" w:eastAsia="en-CA"/>
              </w:rPr>
              <w:tab/>
            </w:r>
            <w:r w:rsidR="000D00D1" w:rsidRPr="00134EFC">
              <w:rPr>
                <w:rStyle w:val="Hyperlink"/>
                <w:noProof/>
              </w:rPr>
              <w:t>Effects of post-wildfire salvage logging on ecosystems and societal values</w:t>
            </w:r>
            <w:r w:rsidR="000D00D1">
              <w:rPr>
                <w:noProof/>
                <w:webHidden/>
              </w:rPr>
              <w:tab/>
            </w:r>
            <w:r w:rsidR="000D00D1">
              <w:rPr>
                <w:noProof/>
                <w:webHidden/>
              </w:rPr>
              <w:fldChar w:fldCharType="begin"/>
            </w:r>
            <w:r w:rsidR="000D00D1">
              <w:rPr>
                <w:noProof/>
                <w:webHidden/>
              </w:rPr>
              <w:instrText xml:space="preserve"> PAGEREF _Toc503934751 \h </w:instrText>
            </w:r>
            <w:r w:rsidR="000D00D1">
              <w:rPr>
                <w:noProof/>
                <w:webHidden/>
              </w:rPr>
            </w:r>
            <w:r w:rsidR="000D00D1">
              <w:rPr>
                <w:noProof/>
                <w:webHidden/>
              </w:rPr>
              <w:fldChar w:fldCharType="separate"/>
            </w:r>
            <w:r w:rsidR="000D00D1">
              <w:rPr>
                <w:noProof/>
                <w:webHidden/>
              </w:rPr>
              <w:t>16</w:t>
            </w:r>
            <w:r w:rsidR="000D00D1">
              <w:rPr>
                <w:noProof/>
                <w:webHidden/>
              </w:rPr>
              <w:fldChar w:fldCharType="end"/>
            </w:r>
          </w:hyperlink>
        </w:p>
        <w:p w14:paraId="64C31AB2" w14:textId="77777777" w:rsidR="000D00D1" w:rsidRDefault="00085CDB" w:rsidP="000D00D1">
          <w:pPr>
            <w:pStyle w:val="TOC2"/>
            <w:tabs>
              <w:tab w:val="right" w:leader="dot" w:pos="9350"/>
            </w:tabs>
            <w:spacing w:after="0"/>
            <w:rPr>
              <w:rFonts w:eastAsiaTheme="minorEastAsia"/>
              <w:noProof/>
              <w:lang w:val="en-CA" w:eastAsia="en-CA"/>
            </w:rPr>
          </w:pPr>
          <w:hyperlink w:anchor="_Toc503934752" w:history="1">
            <w:r w:rsidR="000D00D1" w:rsidRPr="00134EFC">
              <w:rPr>
                <w:rStyle w:val="Hyperlink"/>
                <w:noProof/>
              </w:rPr>
              <w:t>Ecological resilience and climate change</w:t>
            </w:r>
            <w:r w:rsidR="000D00D1">
              <w:rPr>
                <w:noProof/>
                <w:webHidden/>
              </w:rPr>
              <w:tab/>
            </w:r>
            <w:r w:rsidR="000D00D1">
              <w:rPr>
                <w:noProof/>
                <w:webHidden/>
              </w:rPr>
              <w:fldChar w:fldCharType="begin"/>
            </w:r>
            <w:r w:rsidR="000D00D1">
              <w:rPr>
                <w:noProof/>
                <w:webHidden/>
              </w:rPr>
              <w:instrText xml:space="preserve"> PAGEREF _Toc503934752 \h </w:instrText>
            </w:r>
            <w:r w:rsidR="000D00D1">
              <w:rPr>
                <w:noProof/>
                <w:webHidden/>
              </w:rPr>
            </w:r>
            <w:r w:rsidR="000D00D1">
              <w:rPr>
                <w:noProof/>
                <w:webHidden/>
              </w:rPr>
              <w:fldChar w:fldCharType="separate"/>
            </w:r>
            <w:r w:rsidR="000D00D1">
              <w:rPr>
                <w:noProof/>
                <w:webHidden/>
              </w:rPr>
              <w:t>16</w:t>
            </w:r>
            <w:r w:rsidR="000D00D1">
              <w:rPr>
                <w:noProof/>
                <w:webHidden/>
              </w:rPr>
              <w:fldChar w:fldCharType="end"/>
            </w:r>
          </w:hyperlink>
        </w:p>
        <w:p w14:paraId="2BE41966" w14:textId="77777777" w:rsidR="000D00D1" w:rsidRDefault="00085CDB" w:rsidP="000D00D1">
          <w:pPr>
            <w:pStyle w:val="TOC2"/>
            <w:tabs>
              <w:tab w:val="right" w:leader="dot" w:pos="9350"/>
            </w:tabs>
            <w:spacing w:after="0"/>
            <w:rPr>
              <w:rFonts w:eastAsiaTheme="minorEastAsia"/>
              <w:noProof/>
              <w:lang w:val="en-CA" w:eastAsia="en-CA"/>
            </w:rPr>
          </w:pPr>
          <w:hyperlink w:anchor="_Toc503934753" w:history="1">
            <w:r w:rsidR="000D00D1" w:rsidRPr="00134EFC">
              <w:rPr>
                <w:rStyle w:val="Hyperlink"/>
                <w:noProof/>
              </w:rPr>
              <w:t>Effects on soil</w:t>
            </w:r>
            <w:r w:rsidR="000D00D1">
              <w:rPr>
                <w:noProof/>
                <w:webHidden/>
              </w:rPr>
              <w:tab/>
            </w:r>
            <w:r w:rsidR="000D00D1">
              <w:rPr>
                <w:noProof/>
                <w:webHidden/>
              </w:rPr>
              <w:fldChar w:fldCharType="begin"/>
            </w:r>
            <w:r w:rsidR="000D00D1">
              <w:rPr>
                <w:noProof/>
                <w:webHidden/>
              </w:rPr>
              <w:instrText xml:space="preserve"> PAGEREF _Toc503934753 \h </w:instrText>
            </w:r>
            <w:r w:rsidR="000D00D1">
              <w:rPr>
                <w:noProof/>
                <w:webHidden/>
              </w:rPr>
            </w:r>
            <w:r w:rsidR="000D00D1">
              <w:rPr>
                <w:noProof/>
                <w:webHidden/>
              </w:rPr>
              <w:fldChar w:fldCharType="separate"/>
            </w:r>
            <w:r w:rsidR="000D00D1">
              <w:rPr>
                <w:noProof/>
                <w:webHidden/>
              </w:rPr>
              <w:t>17</w:t>
            </w:r>
            <w:r w:rsidR="000D00D1">
              <w:rPr>
                <w:noProof/>
                <w:webHidden/>
              </w:rPr>
              <w:fldChar w:fldCharType="end"/>
            </w:r>
          </w:hyperlink>
        </w:p>
        <w:p w14:paraId="68AF25C2" w14:textId="77777777" w:rsidR="000D00D1" w:rsidRDefault="00085CDB" w:rsidP="000D00D1">
          <w:pPr>
            <w:pStyle w:val="TOC2"/>
            <w:tabs>
              <w:tab w:val="right" w:leader="dot" w:pos="9350"/>
            </w:tabs>
            <w:spacing w:after="0"/>
            <w:rPr>
              <w:rFonts w:eastAsiaTheme="minorEastAsia"/>
              <w:noProof/>
              <w:lang w:val="en-CA" w:eastAsia="en-CA"/>
            </w:rPr>
          </w:pPr>
          <w:hyperlink w:anchor="_Toc503934754" w:history="1">
            <w:r w:rsidR="000D00D1" w:rsidRPr="00134EFC">
              <w:rPr>
                <w:rStyle w:val="Hyperlink"/>
                <w:noProof/>
              </w:rPr>
              <w:t>Effects on water</w:t>
            </w:r>
            <w:r w:rsidR="000D00D1">
              <w:rPr>
                <w:noProof/>
                <w:webHidden/>
              </w:rPr>
              <w:tab/>
            </w:r>
            <w:r w:rsidR="000D00D1">
              <w:rPr>
                <w:noProof/>
                <w:webHidden/>
              </w:rPr>
              <w:fldChar w:fldCharType="begin"/>
            </w:r>
            <w:r w:rsidR="000D00D1">
              <w:rPr>
                <w:noProof/>
                <w:webHidden/>
              </w:rPr>
              <w:instrText xml:space="preserve"> PAGEREF _Toc503934754 \h </w:instrText>
            </w:r>
            <w:r w:rsidR="000D00D1">
              <w:rPr>
                <w:noProof/>
                <w:webHidden/>
              </w:rPr>
            </w:r>
            <w:r w:rsidR="000D00D1">
              <w:rPr>
                <w:noProof/>
                <w:webHidden/>
              </w:rPr>
              <w:fldChar w:fldCharType="separate"/>
            </w:r>
            <w:r w:rsidR="000D00D1">
              <w:rPr>
                <w:noProof/>
                <w:webHidden/>
              </w:rPr>
              <w:t>18</w:t>
            </w:r>
            <w:r w:rsidR="000D00D1">
              <w:rPr>
                <w:noProof/>
                <w:webHidden/>
              </w:rPr>
              <w:fldChar w:fldCharType="end"/>
            </w:r>
          </w:hyperlink>
        </w:p>
        <w:p w14:paraId="22487D2A" w14:textId="77777777" w:rsidR="000D00D1" w:rsidRDefault="00085CDB" w:rsidP="000D00D1">
          <w:pPr>
            <w:pStyle w:val="TOC2"/>
            <w:tabs>
              <w:tab w:val="right" w:leader="dot" w:pos="9350"/>
            </w:tabs>
            <w:spacing w:after="0"/>
            <w:rPr>
              <w:rFonts w:eastAsiaTheme="minorEastAsia"/>
              <w:noProof/>
              <w:lang w:val="en-CA" w:eastAsia="en-CA"/>
            </w:rPr>
          </w:pPr>
          <w:hyperlink w:anchor="_Toc503934755" w:history="1">
            <w:r w:rsidR="000D00D1" w:rsidRPr="00134EFC">
              <w:rPr>
                <w:rStyle w:val="Hyperlink"/>
                <w:noProof/>
              </w:rPr>
              <w:t>Effects on timber and sustainable forests</w:t>
            </w:r>
            <w:r w:rsidR="000D00D1">
              <w:rPr>
                <w:noProof/>
                <w:webHidden/>
              </w:rPr>
              <w:tab/>
            </w:r>
            <w:r w:rsidR="000D00D1">
              <w:rPr>
                <w:noProof/>
                <w:webHidden/>
              </w:rPr>
              <w:fldChar w:fldCharType="begin"/>
            </w:r>
            <w:r w:rsidR="000D00D1">
              <w:rPr>
                <w:noProof/>
                <w:webHidden/>
              </w:rPr>
              <w:instrText xml:space="preserve"> PAGEREF _Toc503934755 \h </w:instrText>
            </w:r>
            <w:r w:rsidR="000D00D1">
              <w:rPr>
                <w:noProof/>
                <w:webHidden/>
              </w:rPr>
            </w:r>
            <w:r w:rsidR="000D00D1">
              <w:rPr>
                <w:noProof/>
                <w:webHidden/>
              </w:rPr>
              <w:fldChar w:fldCharType="separate"/>
            </w:r>
            <w:r w:rsidR="000D00D1">
              <w:rPr>
                <w:noProof/>
                <w:webHidden/>
              </w:rPr>
              <w:t>19</w:t>
            </w:r>
            <w:r w:rsidR="000D00D1">
              <w:rPr>
                <w:noProof/>
                <w:webHidden/>
              </w:rPr>
              <w:fldChar w:fldCharType="end"/>
            </w:r>
          </w:hyperlink>
        </w:p>
        <w:p w14:paraId="51F66722" w14:textId="77777777" w:rsidR="000D00D1" w:rsidRDefault="00085CDB" w:rsidP="000D00D1">
          <w:pPr>
            <w:pStyle w:val="TOC2"/>
            <w:tabs>
              <w:tab w:val="right" w:leader="dot" w:pos="9350"/>
            </w:tabs>
            <w:spacing w:after="0"/>
            <w:rPr>
              <w:rFonts w:eastAsiaTheme="minorEastAsia"/>
              <w:noProof/>
              <w:lang w:val="en-CA" w:eastAsia="en-CA"/>
            </w:rPr>
          </w:pPr>
          <w:hyperlink w:anchor="_Toc503934756" w:history="1">
            <w:r w:rsidR="000D00D1" w:rsidRPr="00134EFC">
              <w:rPr>
                <w:rStyle w:val="Hyperlink"/>
                <w:noProof/>
              </w:rPr>
              <w:t>Effects on aquatic ecosystems</w:t>
            </w:r>
            <w:r w:rsidR="000D00D1">
              <w:rPr>
                <w:noProof/>
                <w:webHidden/>
              </w:rPr>
              <w:tab/>
            </w:r>
            <w:r w:rsidR="000D00D1">
              <w:rPr>
                <w:noProof/>
                <w:webHidden/>
              </w:rPr>
              <w:fldChar w:fldCharType="begin"/>
            </w:r>
            <w:r w:rsidR="000D00D1">
              <w:rPr>
                <w:noProof/>
                <w:webHidden/>
              </w:rPr>
              <w:instrText xml:space="preserve"> PAGEREF _Toc503934756 \h </w:instrText>
            </w:r>
            <w:r w:rsidR="000D00D1">
              <w:rPr>
                <w:noProof/>
                <w:webHidden/>
              </w:rPr>
            </w:r>
            <w:r w:rsidR="000D00D1">
              <w:rPr>
                <w:noProof/>
                <w:webHidden/>
              </w:rPr>
              <w:fldChar w:fldCharType="separate"/>
            </w:r>
            <w:r w:rsidR="000D00D1">
              <w:rPr>
                <w:noProof/>
                <w:webHidden/>
              </w:rPr>
              <w:t>19</w:t>
            </w:r>
            <w:r w:rsidR="000D00D1">
              <w:rPr>
                <w:noProof/>
                <w:webHidden/>
              </w:rPr>
              <w:fldChar w:fldCharType="end"/>
            </w:r>
          </w:hyperlink>
        </w:p>
        <w:p w14:paraId="74DF6A00" w14:textId="77777777" w:rsidR="000D00D1" w:rsidRDefault="00085CDB" w:rsidP="000D00D1">
          <w:pPr>
            <w:pStyle w:val="TOC2"/>
            <w:tabs>
              <w:tab w:val="right" w:leader="dot" w:pos="9350"/>
            </w:tabs>
            <w:spacing w:after="0"/>
            <w:rPr>
              <w:rFonts w:eastAsiaTheme="minorEastAsia"/>
              <w:noProof/>
              <w:lang w:val="en-CA" w:eastAsia="en-CA"/>
            </w:rPr>
          </w:pPr>
          <w:hyperlink w:anchor="_Toc503934757" w:history="1">
            <w:r w:rsidR="000D00D1" w:rsidRPr="00134EFC">
              <w:rPr>
                <w:rStyle w:val="Hyperlink"/>
                <w:noProof/>
              </w:rPr>
              <w:t>Effects on wildlife and biodiversity</w:t>
            </w:r>
            <w:r w:rsidR="000D00D1">
              <w:rPr>
                <w:noProof/>
                <w:webHidden/>
              </w:rPr>
              <w:tab/>
            </w:r>
            <w:r w:rsidR="000D00D1">
              <w:rPr>
                <w:noProof/>
                <w:webHidden/>
              </w:rPr>
              <w:fldChar w:fldCharType="begin"/>
            </w:r>
            <w:r w:rsidR="000D00D1">
              <w:rPr>
                <w:noProof/>
                <w:webHidden/>
              </w:rPr>
              <w:instrText xml:space="preserve"> PAGEREF _Toc503934757 \h </w:instrText>
            </w:r>
            <w:r w:rsidR="000D00D1">
              <w:rPr>
                <w:noProof/>
                <w:webHidden/>
              </w:rPr>
            </w:r>
            <w:r w:rsidR="000D00D1">
              <w:rPr>
                <w:noProof/>
                <w:webHidden/>
              </w:rPr>
              <w:fldChar w:fldCharType="separate"/>
            </w:r>
            <w:r w:rsidR="000D00D1">
              <w:rPr>
                <w:noProof/>
                <w:webHidden/>
              </w:rPr>
              <w:t>20</w:t>
            </w:r>
            <w:r w:rsidR="000D00D1">
              <w:rPr>
                <w:noProof/>
                <w:webHidden/>
              </w:rPr>
              <w:fldChar w:fldCharType="end"/>
            </w:r>
          </w:hyperlink>
        </w:p>
        <w:p w14:paraId="39F27C5C" w14:textId="77777777" w:rsidR="000D00D1" w:rsidRDefault="00085CDB" w:rsidP="000D00D1">
          <w:pPr>
            <w:pStyle w:val="TOC2"/>
            <w:tabs>
              <w:tab w:val="right" w:leader="dot" w:pos="9350"/>
            </w:tabs>
            <w:spacing w:after="0"/>
            <w:rPr>
              <w:rFonts w:eastAsiaTheme="minorEastAsia"/>
              <w:noProof/>
              <w:lang w:val="en-CA" w:eastAsia="en-CA"/>
            </w:rPr>
          </w:pPr>
          <w:hyperlink w:anchor="_Toc503934758" w:history="1">
            <w:r w:rsidR="000D00D1" w:rsidRPr="00134EFC">
              <w:rPr>
                <w:rStyle w:val="Hyperlink"/>
                <w:noProof/>
              </w:rPr>
              <w:t>Uncertainty</w:t>
            </w:r>
            <w:r w:rsidR="000D00D1">
              <w:rPr>
                <w:noProof/>
                <w:webHidden/>
              </w:rPr>
              <w:tab/>
            </w:r>
            <w:r w:rsidR="000D00D1">
              <w:rPr>
                <w:noProof/>
                <w:webHidden/>
              </w:rPr>
              <w:fldChar w:fldCharType="begin"/>
            </w:r>
            <w:r w:rsidR="000D00D1">
              <w:rPr>
                <w:noProof/>
                <w:webHidden/>
              </w:rPr>
              <w:instrText xml:space="preserve"> PAGEREF _Toc503934758 \h </w:instrText>
            </w:r>
            <w:r w:rsidR="000D00D1">
              <w:rPr>
                <w:noProof/>
                <w:webHidden/>
              </w:rPr>
            </w:r>
            <w:r w:rsidR="000D00D1">
              <w:rPr>
                <w:noProof/>
                <w:webHidden/>
              </w:rPr>
              <w:fldChar w:fldCharType="separate"/>
            </w:r>
            <w:r w:rsidR="000D00D1">
              <w:rPr>
                <w:noProof/>
                <w:webHidden/>
              </w:rPr>
              <w:t>21</w:t>
            </w:r>
            <w:r w:rsidR="000D00D1">
              <w:rPr>
                <w:noProof/>
                <w:webHidden/>
              </w:rPr>
              <w:fldChar w:fldCharType="end"/>
            </w:r>
          </w:hyperlink>
        </w:p>
        <w:p w14:paraId="2699A0BA" w14:textId="77777777" w:rsidR="000D00D1" w:rsidRDefault="00085CDB" w:rsidP="000D00D1">
          <w:pPr>
            <w:pStyle w:val="TOC2"/>
            <w:tabs>
              <w:tab w:val="right" w:leader="dot" w:pos="9350"/>
            </w:tabs>
            <w:spacing w:after="0"/>
            <w:rPr>
              <w:rFonts w:eastAsiaTheme="minorEastAsia"/>
              <w:noProof/>
              <w:lang w:val="en-CA" w:eastAsia="en-CA"/>
            </w:rPr>
          </w:pPr>
          <w:hyperlink w:anchor="_Toc503934759" w:history="1">
            <w:r w:rsidR="000D00D1" w:rsidRPr="00134EFC">
              <w:rPr>
                <w:rStyle w:val="Hyperlink"/>
                <w:noProof/>
              </w:rPr>
              <w:t>Conclusion</w:t>
            </w:r>
            <w:r w:rsidR="000D00D1">
              <w:rPr>
                <w:noProof/>
                <w:webHidden/>
              </w:rPr>
              <w:tab/>
            </w:r>
            <w:r w:rsidR="000D00D1">
              <w:rPr>
                <w:noProof/>
                <w:webHidden/>
              </w:rPr>
              <w:fldChar w:fldCharType="begin"/>
            </w:r>
            <w:r w:rsidR="000D00D1">
              <w:rPr>
                <w:noProof/>
                <w:webHidden/>
              </w:rPr>
              <w:instrText xml:space="preserve"> PAGEREF _Toc503934759 \h </w:instrText>
            </w:r>
            <w:r w:rsidR="000D00D1">
              <w:rPr>
                <w:noProof/>
                <w:webHidden/>
              </w:rPr>
            </w:r>
            <w:r w:rsidR="000D00D1">
              <w:rPr>
                <w:noProof/>
                <w:webHidden/>
              </w:rPr>
              <w:fldChar w:fldCharType="separate"/>
            </w:r>
            <w:r w:rsidR="000D00D1">
              <w:rPr>
                <w:noProof/>
                <w:webHidden/>
              </w:rPr>
              <w:t>21</w:t>
            </w:r>
            <w:r w:rsidR="000D00D1">
              <w:rPr>
                <w:noProof/>
                <w:webHidden/>
              </w:rPr>
              <w:fldChar w:fldCharType="end"/>
            </w:r>
          </w:hyperlink>
        </w:p>
        <w:p w14:paraId="6EB7C819" w14:textId="77777777" w:rsidR="000D00D1" w:rsidRDefault="00085CDB" w:rsidP="000D00D1">
          <w:pPr>
            <w:pStyle w:val="TOC1"/>
            <w:tabs>
              <w:tab w:val="right" w:leader="dot" w:pos="9350"/>
            </w:tabs>
            <w:spacing w:after="0"/>
            <w:rPr>
              <w:rFonts w:eastAsiaTheme="minorEastAsia"/>
              <w:noProof/>
              <w:lang w:val="en-CA" w:eastAsia="en-CA"/>
            </w:rPr>
          </w:pPr>
          <w:hyperlink w:anchor="_Toc503934760" w:history="1">
            <w:r w:rsidR="000D00D1" w:rsidRPr="00134EFC">
              <w:rPr>
                <w:rStyle w:val="Hyperlink"/>
                <w:noProof/>
              </w:rPr>
              <w:t>Literature Cited</w:t>
            </w:r>
            <w:r w:rsidR="000D00D1">
              <w:rPr>
                <w:noProof/>
                <w:webHidden/>
              </w:rPr>
              <w:tab/>
            </w:r>
            <w:r w:rsidR="000D00D1">
              <w:rPr>
                <w:noProof/>
                <w:webHidden/>
              </w:rPr>
              <w:fldChar w:fldCharType="begin"/>
            </w:r>
            <w:r w:rsidR="000D00D1">
              <w:rPr>
                <w:noProof/>
                <w:webHidden/>
              </w:rPr>
              <w:instrText xml:space="preserve"> PAGEREF _Toc503934760 \h </w:instrText>
            </w:r>
            <w:r w:rsidR="000D00D1">
              <w:rPr>
                <w:noProof/>
                <w:webHidden/>
              </w:rPr>
            </w:r>
            <w:r w:rsidR="000D00D1">
              <w:rPr>
                <w:noProof/>
                <w:webHidden/>
              </w:rPr>
              <w:fldChar w:fldCharType="separate"/>
            </w:r>
            <w:r w:rsidR="000D00D1">
              <w:rPr>
                <w:noProof/>
                <w:webHidden/>
              </w:rPr>
              <w:t>23</w:t>
            </w:r>
            <w:r w:rsidR="000D00D1">
              <w:rPr>
                <w:noProof/>
                <w:webHidden/>
              </w:rPr>
              <w:fldChar w:fldCharType="end"/>
            </w:r>
          </w:hyperlink>
        </w:p>
        <w:p w14:paraId="7F2596FD" w14:textId="58B9E8F0" w:rsidR="006F5B40" w:rsidRPr="009B5D16" w:rsidRDefault="006F5B40" w:rsidP="000D00D1">
          <w:pPr>
            <w:spacing w:after="0" w:line="240" w:lineRule="auto"/>
            <w:rPr>
              <w:b/>
              <w:bCs/>
              <w:noProof/>
            </w:rPr>
          </w:pPr>
          <w:r>
            <w:rPr>
              <w:b/>
              <w:bCs/>
              <w:noProof/>
            </w:rPr>
            <w:fldChar w:fldCharType="end"/>
          </w:r>
        </w:p>
      </w:sdtContent>
    </w:sdt>
    <w:p w14:paraId="728FE64A" w14:textId="16F43A60" w:rsidR="00DB286C" w:rsidRDefault="00DB286C" w:rsidP="001B0DBA">
      <w:pPr>
        <w:pStyle w:val="TOCHeading"/>
        <w:spacing w:before="0"/>
      </w:pPr>
      <w:bookmarkStart w:id="2" w:name="_Toc494874419"/>
      <w:r>
        <w:t>List of Figures</w:t>
      </w:r>
    </w:p>
    <w:p w14:paraId="7F6BBF70" w14:textId="77777777" w:rsidR="00433F5E" w:rsidRPr="0087334D" w:rsidRDefault="00DB286C">
      <w:pPr>
        <w:pStyle w:val="TableofFigures"/>
        <w:tabs>
          <w:tab w:val="right" w:leader="dot" w:pos="9350"/>
        </w:tabs>
        <w:rPr>
          <w:rFonts w:eastAsiaTheme="minorEastAsia"/>
          <w:noProof/>
          <w:sz w:val="20"/>
          <w:szCs w:val="20"/>
        </w:rPr>
      </w:pPr>
      <w:r>
        <w:fldChar w:fldCharType="begin"/>
      </w:r>
      <w:r>
        <w:instrText xml:space="preserve"> TOC \h \z \c "Figure" </w:instrText>
      </w:r>
      <w:r>
        <w:fldChar w:fldCharType="separate"/>
      </w:r>
      <w:hyperlink w:anchor="_Toc501382120" w:history="1">
        <w:r w:rsidR="00433F5E" w:rsidRPr="0087334D">
          <w:rPr>
            <w:rStyle w:val="Hyperlink"/>
            <w:noProof/>
            <w:sz w:val="20"/>
            <w:szCs w:val="20"/>
          </w:rPr>
          <w:t>Figure 1. Annual area affected by wildfire provincially.</w:t>
        </w:r>
        <w:r w:rsidR="00433F5E" w:rsidRPr="0087334D">
          <w:rPr>
            <w:noProof/>
            <w:webHidden/>
            <w:sz w:val="20"/>
            <w:szCs w:val="20"/>
          </w:rPr>
          <w:tab/>
        </w:r>
        <w:r w:rsidR="00433F5E" w:rsidRPr="0087334D">
          <w:rPr>
            <w:noProof/>
            <w:webHidden/>
            <w:sz w:val="20"/>
            <w:szCs w:val="20"/>
          </w:rPr>
          <w:fldChar w:fldCharType="begin"/>
        </w:r>
        <w:r w:rsidR="00433F5E" w:rsidRPr="0087334D">
          <w:rPr>
            <w:noProof/>
            <w:webHidden/>
            <w:sz w:val="20"/>
            <w:szCs w:val="20"/>
          </w:rPr>
          <w:instrText xml:space="preserve"> PAGEREF _Toc501382120 \h </w:instrText>
        </w:r>
        <w:r w:rsidR="00433F5E" w:rsidRPr="0087334D">
          <w:rPr>
            <w:noProof/>
            <w:webHidden/>
            <w:sz w:val="20"/>
            <w:szCs w:val="20"/>
          </w:rPr>
        </w:r>
        <w:r w:rsidR="00433F5E" w:rsidRPr="0087334D">
          <w:rPr>
            <w:noProof/>
            <w:webHidden/>
            <w:sz w:val="20"/>
            <w:szCs w:val="20"/>
          </w:rPr>
          <w:fldChar w:fldCharType="separate"/>
        </w:r>
        <w:r w:rsidR="00746F90">
          <w:rPr>
            <w:noProof/>
            <w:webHidden/>
            <w:sz w:val="20"/>
            <w:szCs w:val="20"/>
          </w:rPr>
          <w:t>10</w:t>
        </w:r>
        <w:r w:rsidR="00433F5E" w:rsidRPr="0087334D">
          <w:rPr>
            <w:noProof/>
            <w:webHidden/>
            <w:sz w:val="20"/>
            <w:szCs w:val="20"/>
          </w:rPr>
          <w:fldChar w:fldCharType="end"/>
        </w:r>
      </w:hyperlink>
    </w:p>
    <w:p w14:paraId="639C38ED" w14:textId="13DA1598" w:rsidR="00433F5E" w:rsidRPr="0087334D" w:rsidRDefault="00085CDB">
      <w:pPr>
        <w:pStyle w:val="TableofFigures"/>
        <w:tabs>
          <w:tab w:val="right" w:leader="dot" w:pos="9350"/>
        </w:tabs>
        <w:rPr>
          <w:rFonts w:eastAsiaTheme="minorEastAsia"/>
          <w:noProof/>
          <w:sz w:val="20"/>
          <w:szCs w:val="20"/>
        </w:rPr>
      </w:pPr>
      <w:hyperlink w:anchor="_Toc501382121" w:history="1">
        <w:r w:rsidR="00433F5E" w:rsidRPr="0087334D">
          <w:rPr>
            <w:rStyle w:val="Hyperlink"/>
            <w:noProof/>
            <w:sz w:val="20"/>
            <w:szCs w:val="20"/>
          </w:rPr>
          <w:t>Figure 2. Regional area affected by the 2017 wildfires.</w:t>
        </w:r>
        <w:r w:rsidR="00433F5E" w:rsidRPr="0087334D">
          <w:rPr>
            <w:noProof/>
            <w:webHidden/>
            <w:sz w:val="20"/>
            <w:szCs w:val="20"/>
          </w:rPr>
          <w:tab/>
        </w:r>
        <w:r w:rsidR="00433F5E" w:rsidRPr="0087334D">
          <w:rPr>
            <w:noProof/>
            <w:webHidden/>
            <w:sz w:val="20"/>
            <w:szCs w:val="20"/>
          </w:rPr>
          <w:fldChar w:fldCharType="begin"/>
        </w:r>
        <w:r w:rsidR="00433F5E" w:rsidRPr="0087334D">
          <w:rPr>
            <w:noProof/>
            <w:webHidden/>
            <w:sz w:val="20"/>
            <w:szCs w:val="20"/>
          </w:rPr>
          <w:instrText xml:space="preserve"> PAGEREF _Toc501382121 \h </w:instrText>
        </w:r>
        <w:r w:rsidR="00433F5E" w:rsidRPr="0087334D">
          <w:rPr>
            <w:noProof/>
            <w:webHidden/>
            <w:sz w:val="20"/>
            <w:szCs w:val="20"/>
          </w:rPr>
        </w:r>
        <w:r w:rsidR="00433F5E" w:rsidRPr="0087334D">
          <w:rPr>
            <w:noProof/>
            <w:webHidden/>
            <w:sz w:val="20"/>
            <w:szCs w:val="20"/>
          </w:rPr>
          <w:fldChar w:fldCharType="separate"/>
        </w:r>
        <w:r w:rsidR="00746F90">
          <w:rPr>
            <w:noProof/>
            <w:webHidden/>
            <w:sz w:val="20"/>
            <w:szCs w:val="20"/>
          </w:rPr>
          <w:t>10</w:t>
        </w:r>
        <w:r w:rsidR="00433F5E" w:rsidRPr="0087334D">
          <w:rPr>
            <w:noProof/>
            <w:webHidden/>
            <w:sz w:val="20"/>
            <w:szCs w:val="20"/>
          </w:rPr>
          <w:fldChar w:fldCharType="end"/>
        </w:r>
      </w:hyperlink>
    </w:p>
    <w:p w14:paraId="7B40C512" w14:textId="7FDC3692" w:rsidR="00433F5E" w:rsidRPr="0087334D" w:rsidRDefault="00085CDB">
      <w:pPr>
        <w:pStyle w:val="TableofFigures"/>
        <w:tabs>
          <w:tab w:val="right" w:leader="dot" w:pos="9350"/>
        </w:tabs>
        <w:rPr>
          <w:rFonts w:eastAsiaTheme="minorEastAsia"/>
          <w:noProof/>
          <w:sz w:val="20"/>
          <w:szCs w:val="20"/>
        </w:rPr>
      </w:pPr>
      <w:hyperlink w:anchor="_Toc501382122" w:history="1">
        <w:r w:rsidR="00433F5E" w:rsidRPr="0087334D">
          <w:rPr>
            <w:rStyle w:val="Hyperlink"/>
            <w:noProof/>
            <w:sz w:val="20"/>
            <w:szCs w:val="20"/>
          </w:rPr>
          <w:t>Figure 3. Age class of forest affected by wildfires; showing the area of greatest damage.</w:t>
        </w:r>
        <w:r w:rsidR="00433F5E" w:rsidRPr="0087334D">
          <w:rPr>
            <w:noProof/>
            <w:webHidden/>
            <w:sz w:val="20"/>
            <w:szCs w:val="20"/>
          </w:rPr>
          <w:tab/>
        </w:r>
        <w:r w:rsidR="00433F5E" w:rsidRPr="0087334D">
          <w:rPr>
            <w:noProof/>
            <w:webHidden/>
            <w:sz w:val="20"/>
            <w:szCs w:val="20"/>
          </w:rPr>
          <w:fldChar w:fldCharType="begin"/>
        </w:r>
        <w:r w:rsidR="00433F5E" w:rsidRPr="0087334D">
          <w:rPr>
            <w:noProof/>
            <w:webHidden/>
            <w:sz w:val="20"/>
            <w:szCs w:val="20"/>
          </w:rPr>
          <w:instrText xml:space="preserve"> PAGEREF _Toc501382122 \h </w:instrText>
        </w:r>
        <w:r w:rsidR="00433F5E" w:rsidRPr="0087334D">
          <w:rPr>
            <w:noProof/>
            <w:webHidden/>
            <w:sz w:val="20"/>
            <w:szCs w:val="20"/>
          </w:rPr>
        </w:r>
        <w:r w:rsidR="00433F5E" w:rsidRPr="0087334D">
          <w:rPr>
            <w:noProof/>
            <w:webHidden/>
            <w:sz w:val="20"/>
            <w:szCs w:val="20"/>
          </w:rPr>
          <w:fldChar w:fldCharType="separate"/>
        </w:r>
        <w:r w:rsidR="00746F90">
          <w:rPr>
            <w:noProof/>
            <w:webHidden/>
            <w:sz w:val="20"/>
            <w:szCs w:val="20"/>
          </w:rPr>
          <w:t>12</w:t>
        </w:r>
        <w:r w:rsidR="00433F5E" w:rsidRPr="0087334D">
          <w:rPr>
            <w:noProof/>
            <w:webHidden/>
            <w:sz w:val="20"/>
            <w:szCs w:val="20"/>
          </w:rPr>
          <w:fldChar w:fldCharType="end"/>
        </w:r>
      </w:hyperlink>
    </w:p>
    <w:p w14:paraId="7ED52FBB" w14:textId="77777777" w:rsidR="00433F5E" w:rsidRPr="0087334D" w:rsidRDefault="00085CDB">
      <w:pPr>
        <w:pStyle w:val="TableofFigures"/>
        <w:tabs>
          <w:tab w:val="right" w:leader="dot" w:pos="9350"/>
        </w:tabs>
        <w:rPr>
          <w:rFonts w:eastAsiaTheme="minorEastAsia"/>
          <w:noProof/>
          <w:sz w:val="20"/>
          <w:szCs w:val="20"/>
        </w:rPr>
      </w:pPr>
      <w:hyperlink w:anchor="_Toc501382123" w:history="1">
        <w:r w:rsidR="00433F5E" w:rsidRPr="0087334D">
          <w:rPr>
            <w:rStyle w:val="Hyperlink"/>
            <w:noProof/>
            <w:sz w:val="20"/>
            <w:szCs w:val="20"/>
          </w:rPr>
          <w:t>Figure 4. Provincial summary of age of forest burned.</w:t>
        </w:r>
        <w:r w:rsidR="00433F5E" w:rsidRPr="0087334D">
          <w:rPr>
            <w:noProof/>
            <w:webHidden/>
            <w:sz w:val="20"/>
            <w:szCs w:val="20"/>
          </w:rPr>
          <w:tab/>
        </w:r>
        <w:r w:rsidR="00433F5E" w:rsidRPr="0087334D">
          <w:rPr>
            <w:noProof/>
            <w:webHidden/>
            <w:sz w:val="20"/>
            <w:szCs w:val="20"/>
          </w:rPr>
          <w:fldChar w:fldCharType="begin"/>
        </w:r>
        <w:r w:rsidR="00433F5E" w:rsidRPr="0087334D">
          <w:rPr>
            <w:noProof/>
            <w:webHidden/>
            <w:sz w:val="20"/>
            <w:szCs w:val="20"/>
          </w:rPr>
          <w:instrText xml:space="preserve"> PAGEREF _Toc501382123 \h </w:instrText>
        </w:r>
        <w:r w:rsidR="00433F5E" w:rsidRPr="0087334D">
          <w:rPr>
            <w:noProof/>
            <w:webHidden/>
            <w:sz w:val="20"/>
            <w:szCs w:val="20"/>
          </w:rPr>
        </w:r>
        <w:r w:rsidR="00433F5E" w:rsidRPr="0087334D">
          <w:rPr>
            <w:noProof/>
            <w:webHidden/>
            <w:sz w:val="20"/>
            <w:szCs w:val="20"/>
          </w:rPr>
          <w:fldChar w:fldCharType="separate"/>
        </w:r>
        <w:r w:rsidR="00746F90">
          <w:rPr>
            <w:noProof/>
            <w:webHidden/>
            <w:sz w:val="20"/>
            <w:szCs w:val="20"/>
          </w:rPr>
          <w:t>12</w:t>
        </w:r>
        <w:r w:rsidR="00433F5E" w:rsidRPr="0087334D">
          <w:rPr>
            <w:noProof/>
            <w:webHidden/>
            <w:sz w:val="20"/>
            <w:szCs w:val="20"/>
          </w:rPr>
          <w:fldChar w:fldCharType="end"/>
        </w:r>
      </w:hyperlink>
    </w:p>
    <w:p w14:paraId="53952439" w14:textId="6664F9D6" w:rsidR="00433F5E" w:rsidRDefault="00085CDB">
      <w:pPr>
        <w:pStyle w:val="TableofFigures"/>
        <w:tabs>
          <w:tab w:val="right" w:leader="dot" w:pos="9350"/>
        </w:tabs>
        <w:rPr>
          <w:rFonts w:eastAsiaTheme="minorEastAsia"/>
          <w:noProof/>
        </w:rPr>
      </w:pPr>
      <w:hyperlink w:anchor="_Toc501382124" w:history="1">
        <w:r w:rsidR="00433F5E" w:rsidRPr="0087334D">
          <w:rPr>
            <w:rStyle w:val="Hyperlink"/>
            <w:noProof/>
            <w:sz w:val="20"/>
            <w:szCs w:val="20"/>
          </w:rPr>
          <w:t>Figure 5. Extent of wildfires in special management areas.</w:t>
        </w:r>
        <w:r w:rsidR="00433F5E" w:rsidRPr="0087334D">
          <w:rPr>
            <w:noProof/>
            <w:webHidden/>
            <w:sz w:val="20"/>
            <w:szCs w:val="20"/>
          </w:rPr>
          <w:tab/>
        </w:r>
        <w:r w:rsidR="00433F5E" w:rsidRPr="0087334D">
          <w:rPr>
            <w:noProof/>
            <w:webHidden/>
            <w:sz w:val="20"/>
            <w:szCs w:val="20"/>
          </w:rPr>
          <w:fldChar w:fldCharType="begin"/>
        </w:r>
        <w:r w:rsidR="00433F5E" w:rsidRPr="0087334D">
          <w:rPr>
            <w:noProof/>
            <w:webHidden/>
            <w:sz w:val="20"/>
            <w:szCs w:val="20"/>
          </w:rPr>
          <w:instrText xml:space="preserve"> PAGEREF _Toc501382124 \h </w:instrText>
        </w:r>
        <w:r w:rsidR="00433F5E" w:rsidRPr="0087334D">
          <w:rPr>
            <w:noProof/>
            <w:webHidden/>
            <w:sz w:val="20"/>
            <w:szCs w:val="20"/>
          </w:rPr>
        </w:r>
        <w:r w:rsidR="00433F5E" w:rsidRPr="0087334D">
          <w:rPr>
            <w:noProof/>
            <w:webHidden/>
            <w:sz w:val="20"/>
            <w:szCs w:val="20"/>
          </w:rPr>
          <w:fldChar w:fldCharType="separate"/>
        </w:r>
        <w:r w:rsidR="00746F90">
          <w:rPr>
            <w:noProof/>
            <w:webHidden/>
            <w:sz w:val="20"/>
            <w:szCs w:val="20"/>
          </w:rPr>
          <w:t>14</w:t>
        </w:r>
        <w:r w:rsidR="00433F5E" w:rsidRPr="0087334D">
          <w:rPr>
            <w:noProof/>
            <w:webHidden/>
            <w:sz w:val="20"/>
            <w:szCs w:val="20"/>
          </w:rPr>
          <w:fldChar w:fldCharType="end"/>
        </w:r>
      </w:hyperlink>
    </w:p>
    <w:p w14:paraId="07F69E74" w14:textId="6FC8CFD1" w:rsidR="00DB286C" w:rsidRDefault="00DB286C" w:rsidP="00DB286C">
      <w:pPr>
        <w:pStyle w:val="TableofFigures"/>
        <w:tabs>
          <w:tab w:val="right" w:leader="dot" w:pos="9350"/>
        </w:tabs>
      </w:pPr>
      <w:r>
        <w:fldChar w:fldCharType="end"/>
      </w:r>
    </w:p>
    <w:p w14:paraId="61734D5D" w14:textId="7C1419AC" w:rsidR="00DB286C" w:rsidRDefault="00DB286C" w:rsidP="001B0DBA">
      <w:pPr>
        <w:pStyle w:val="TOCHeading"/>
        <w:spacing w:before="0"/>
      </w:pPr>
      <w:r>
        <w:t>List of Tables</w:t>
      </w:r>
    </w:p>
    <w:p w14:paraId="76F76381" w14:textId="77777777" w:rsidR="005E4C29" w:rsidRPr="0087334D" w:rsidRDefault="00DB286C">
      <w:pPr>
        <w:pStyle w:val="TableofFigures"/>
        <w:tabs>
          <w:tab w:val="right" w:leader="dot" w:pos="9350"/>
        </w:tabs>
        <w:rPr>
          <w:rFonts w:eastAsiaTheme="minorEastAsia"/>
          <w:noProof/>
          <w:sz w:val="20"/>
          <w:szCs w:val="20"/>
          <w:lang w:val="en-CA" w:eastAsia="en-CA"/>
        </w:rPr>
      </w:pPr>
      <w:r>
        <w:fldChar w:fldCharType="begin"/>
      </w:r>
      <w:r>
        <w:instrText xml:space="preserve"> TOC \h \z \c "Table" </w:instrText>
      </w:r>
      <w:r>
        <w:fldChar w:fldCharType="separate"/>
      </w:r>
      <w:hyperlink w:anchor="_Toc502565288" w:history="1">
        <w:r w:rsidR="005E4C29" w:rsidRPr="0087334D">
          <w:rPr>
            <w:rStyle w:val="Hyperlink"/>
            <w:noProof/>
            <w:sz w:val="20"/>
            <w:szCs w:val="20"/>
          </w:rPr>
          <w:t>Table 1. Proportion of area inside the wildfire perimeters by burn severity category</w:t>
        </w:r>
        <w:r w:rsidR="005E4C29" w:rsidRPr="0087334D">
          <w:rPr>
            <w:noProof/>
            <w:webHidden/>
            <w:sz w:val="20"/>
            <w:szCs w:val="20"/>
          </w:rPr>
          <w:tab/>
        </w:r>
        <w:r w:rsidR="005E4C29" w:rsidRPr="0087334D">
          <w:rPr>
            <w:noProof/>
            <w:webHidden/>
            <w:sz w:val="20"/>
            <w:szCs w:val="20"/>
          </w:rPr>
          <w:fldChar w:fldCharType="begin"/>
        </w:r>
        <w:r w:rsidR="005E4C29" w:rsidRPr="0087334D">
          <w:rPr>
            <w:noProof/>
            <w:webHidden/>
            <w:sz w:val="20"/>
            <w:szCs w:val="20"/>
          </w:rPr>
          <w:instrText xml:space="preserve"> PAGEREF _Toc502565288 \h </w:instrText>
        </w:r>
        <w:r w:rsidR="005E4C29" w:rsidRPr="0087334D">
          <w:rPr>
            <w:noProof/>
            <w:webHidden/>
            <w:sz w:val="20"/>
            <w:szCs w:val="20"/>
          </w:rPr>
        </w:r>
        <w:r w:rsidR="005E4C29" w:rsidRPr="0087334D">
          <w:rPr>
            <w:noProof/>
            <w:webHidden/>
            <w:sz w:val="20"/>
            <w:szCs w:val="20"/>
          </w:rPr>
          <w:fldChar w:fldCharType="separate"/>
        </w:r>
        <w:r w:rsidR="00746F90">
          <w:rPr>
            <w:noProof/>
            <w:webHidden/>
            <w:sz w:val="20"/>
            <w:szCs w:val="20"/>
          </w:rPr>
          <w:t>11</w:t>
        </w:r>
        <w:r w:rsidR="005E4C29" w:rsidRPr="0087334D">
          <w:rPr>
            <w:noProof/>
            <w:webHidden/>
            <w:sz w:val="20"/>
            <w:szCs w:val="20"/>
          </w:rPr>
          <w:fldChar w:fldCharType="end"/>
        </w:r>
      </w:hyperlink>
    </w:p>
    <w:p w14:paraId="0BB1319F" w14:textId="77777777" w:rsidR="005E4C29" w:rsidRPr="0087334D" w:rsidRDefault="00085CDB">
      <w:pPr>
        <w:pStyle w:val="TableofFigures"/>
        <w:tabs>
          <w:tab w:val="right" w:leader="dot" w:pos="9350"/>
        </w:tabs>
        <w:rPr>
          <w:rFonts w:eastAsiaTheme="minorEastAsia"/>
          <w:noProof/>
          <w:sz w:val="20"/>
          <w:szCs w:val="20"/>
          <w:lang w:val="en-CA" w:eastAsia="en-CA"/>
        </w:rPr>
      </w:pPr>
      <w:hyperlink w:anchor="_Toc502565289" w:history="1">
        <w:r w:rsidR="005E4C29" w:rsidRPr="0087334D">
          <w:rPr>
            <w:rStyle w:val="Hyperlink"/>
            <w:noProof/>
            <w:sz w:val="20"/>
            <w:szCs w:val="20"/>
          </w:rPr>
          <w:t>Table 2. Volume (000s of m</w:t>
        </w:r>
        <w:r w:rsidR="005E4C29" w:rsidRPr="0087334D">
          <w:rPr>
            <w:rStyle w:val="Hyperlink"/>
            <w:noProof/>
            <w:sz w:val="20"/>
            <w:szCs w:val="20"/>
            <w:vertAlign w:val="superscript"/>
          </w:rPr>
          <w:t>3</w:t>
        </w:r>
        <w:r w:rsidR="005E4C29" w:rsidRPr="0087334D">
          <w:rPr>
            <w:rStyle w:val="Hyperlink"/>
            <w:noProof/>
            <w:sz w:val="20"/>
            <w:szCs w:val="20"/>
          </w:rPr>
          <w:t>) of live and dead (mountain pine beetle killed) timber in the timber harvesting landbase affected by Timber Supply Area and burn severity class</w:t>
        </w:r>
        <w:r w:rsidR="005E4C29" w:rsidRPr="0087334D">
          <w:rPr>
            <w:noProof/>
            <w:webHidden/>
            <w:sz w:val="20"/>
            <w:szCs w:val="20"/>
          </w:rPr>
          <w:tab/>
        </w:r>
        <w:r w:rsidR="005E4C29" w:rsidRPr="0087334D">
          <w:rPr>
            <w:noProof/>
            <w:webHidden/>
            <w:sz w:val="20"/>
            <w:szCs w:val="20"/>
          </w:rPr>
          <w:fldChar w:fldCharType="begin"/>
        </w:r>
        <w:r w:rsidR="005E4C29" w:rsidRPr="0087334D">
          <w:rPr>
            <w:noProof/>
            <w:webHidden/>
            <w:sz w:val="20"/>
            <w:szCs w:val="20"/>
          </w:rPr>
          <w:instrText xml:space="preserve"> PAGEREF _Toc502565289 \h </w:instrText>
        </w:r>
        <w:r w:rsidR="005E4C29" w:rsidRPr="0087334D">
          <w:rPr>
            <w:noProof/>
            <w:webHidden/>
            <w:sz w:val="20"/>
            <w:szCs w:val="20"/>
          </w:rPr>
        </w:r>
        <w:r w:rsidR="005E4C29" w:rsidRPr="0087334D">
          <w:rPr>
            <w:noProof/>
            <w:webHidden/>
            <w:sz w:val="20"/>
            <w:szCs w:val="20"/>
          </w:rPr>
          <w:fldChar w:fldCharType="separate"/>
        </w:r>
        <w:r w:rsidR="00746F90">
          <w:rPr>
            <w:noProof/>
            <w:webHidden/>
            <w:sz w:val="20"/>
            <w:szCs w:val="20"/>
          </w:rPr>
          <w:t>13</w:t>
        </w:r>
        <w:r w:rsidR="005E4C29" w:rsidRPr="0087334D">
          <w:rPr>
            <w:noProof/>
            <w:webHidden/>
            <w:sz w:val="20"/>
            <w:szCs w:val="20"/>
          </w:rPr>
          <w:fldChar w:fldCharType="end"/>
        </w:r>
      </w:hyperlink>
    </w:p>
    <w:p w14:paraId="27C94780" w14:textId="77777777" w:rsidR="005E4C29" w:rsidRDefault="00085CDB">
      <w:pPr>
        <w:pStyle w:val="TableofFigures"/>
        <w:tabs>
          <w:tab w:val="right" w:leader="dot" w:pos="9350"/>
        </w:tabs>
        <w:rPr>
          <w:rFonts w:eastAsiaTheme="minorEastAsia"/>
          <w:noProof/>
          <w:lang w:val="en-CA" w:eastAsia="en-CA"/>
        </w:rPr>
      </w:pPr>
      <w:hyperlink w:anchor="_Toc502565290" w:history="1">
        <w:r w:rsidR="005E4C29" w:rsidRPr="0087334D">
          <w:rPr>
            <w:rStyle w:val="Hyperlink"/>
            <w:noProof/>
            <w:sz w:val="20"/>
            <w:szCs w:val="20"/>
          </w:rPr>
          <w:t>Table 3. Proportion of area impacted in severely affected protected areas (i.e., greater than 30% affected)</w:t>
        </w:r>
        <w:r w:rsidR="005E4C29" w:rsidRPr="0087334D">
          <w:rPr>
            <w:noProof/>
            <w:webHidden/>
            <w:sz w:val="20"/>
            <w:szCs w:val="20"/>
          </w:rPr>
          <w:tab/>
        </w:r>
        <w:r w:rsidR="005E4C29" w:rsidRPr="0087334D">
          <w:rPr>
            <w:noProof/>
            <w:webHidden/>
            <w:sz w:val="20"/>
            <w:szCs w:val="20"/>
          </w:rPr>
          <w:fldChar w:fldCharType="begin"/>
        </w:r>
        <w:r w:rsidR="005E4C29" w:rsidRPr="0087334D">
          <w:rPr>
            <w:noProof/>
            <w:webHidden/>
            <w:sz w:val="20"/>
            <w:szCs w:val="20"/>
          </w:rPr>
          <w:instrText xml:space="preserve"> PAGEREF _Toc502565290 \h </w:instrText>
        </w:r>
        <w:r w:rsidR="005E4C29" w:rsidRPr="0087334D">
          <w:rPr>
            <w:noProof/>
            <w:webHidden/>
            <w:sz w:val="20"/>
            <w:szCs w:val="20"/>
          </w:rPr>
        </w:r>
        <w:r w:rsidR="005E4C29" w:rsidRPr="0087334D">
          <w:rPr>
            <w:noProof/>
            <w:webHidden/>
            <w:sz w:val="20"/>
            <w:szCs w:val="20"/>
          </w:rPr>
          <w:fldChar w:fldCharType="separate"/>
        </w:r>
        <w:r w:rsidR="00746F90">
          <w:rPr>
            <w:noProof/>
            <w:webHidden/>
            <w:sz w:val="20"/>
            <w:szCs w:val="20"/>
          </w:rPr>
          <w:t>14</w:t>
        </w:r>
        <w:r w:rsidR="005E4C29" w:rsidRPr="0087334D">
          <w:rPr>
            <w:noProof/>
            <w:webHidden/>
            <w:sz w:val="20"/>
            <w:szCs w:val="20"/>
          </w:rPr>
          <w:fldChar w:fldCharType="end"/>
        </w:r>
      </w:hyperlink>
    </w:p>
    <w:p w14:paraId="46F8EE12" w14:textId="2CB0CCCE" w:rsidR="00EA4F92" w:rsidRPr="00461B5E" w:rsidRDefault="00DB286C" w:rsidP="0087334D">
      <w:pPr>
        <w:sectPr w:rsidR="00EA4F92" w:rsidRPr="00461B5E" w:rsidSect="00461B5E">
          <w:headerReference w:type="default" r:id="rId15"/>
          <w:footerReference w:type="default" r:id="rId16"/>
          <w:footnotePr>
            <w:numFmt w:val="lowerRoman"/>
          </w:footnotePr>
          <w:pgSz w:w="12240" w:h="15840"/>
          <w:pgMar w:top="1440" w:right="1440" w:bottom="1440" w:left="1440" w:header="720" w:footer="720" w:gutter="0"/>
          <w:pgNumType w:fmt="lowerRoman" w:start="1"/>
          <w:cols w:space="720"/>
          <w:docGrid w:linePitch="360"/>
        </w:sectPr>
      </w:pPr>
      <w:r>
        <w:fldChar w:fldCharType="end"/>
      </w:r>
      <w:bookmarkStart w:id="3" w:name="_Toc498345364"/>
      <w:bookmarkStart w:id="4" w:name="_Toc498345448"/>
      <w:bookmarkStart w:id="5" w:name="_Toc498345836"/>
      <w:bookmarkStart w:id="6" w:name="_Toc498345906"/>
      <w:bookmarkStart w:id="7" w:name="_Toc494874420"/>
      <w:bookmarkEnd w:id="2"/>
      <w:bookmarkEnd w:id="3"/>
      <w:bookmarkEnd w:id="4"/>
      <w:bookmarkEnd w:id="5"/>
      <w:bookmarkEnd w:id="6"/>
    </w:p>
    <w:p w14:paraId="23CEC070" w14:textId="6134C75D" w:rsidR="002B4262" w:rsidRPr="002B4262" w:rsidRDefault="002B4262" w:rsidP="002B4262">
      <w:pPr>
        <w:pStyle w:val="Heading1"/>
        <w:rPr>
          <w:lang w:val="en-CA"/>
        </w:rPr>
      </w:pPr>
      <w:bookmarkStart w:id="8" w:name="_Toc503934734"/>
      <w:r w:rsidRPr="002B4262">
        <w:rPr>
          <w:lang w:val="en-CA"/>
        </w:rPr>
        <w:lastRenderedPageBreak/>
        <w:t>About this Document</w:t>
      </w:r>
      <w:bookmarkEnd w:id="8"/>
    </w:p>
    <w:p w14:paraId="442A51D5" w14:textId="6F6EBD41" w:rsidR="006B0D40" w:rsidRPr="006B0D40" w:rsidRDefault="002B4262" w:rsidP="006B0D40">
      <w:pPr>
        <w:jc w:val="both"/>
      </w:pPr>
      <w:r w:rsidRPr="006B0D40">
        <w:t>This document provides government guidance from the Ministry of Forests, Lands, Natural Resource Operations and Rural Development (the “</w:t>
      </w:r>
      <w:r w:rsidR="00076562">
        <w:t>m</w:t>
      </w:r>
      <w:r w:rsidRPr="006B0D40">
        <w:t>inistry”) to forest professionals design</w:t>
      </w:r>
      <w:r w:rsidR="006A5F72">
        <w:t>ing</w:t>
      </w:r>
      <w:r w:rsidRPr="006B0D40">
        <w:t xml:space="preserve"> </w:t>
      </w:r>
      <w:r w:rsidR="009F1237">
        <w:t xml:space="preserve">logging </w:t>
      </w:r>
      <w:r w:rsidR="006A5F72">
        <w:t>plans</w:t>
      </w:r>
      <w:r w:rsidRPr="006B0D40">
        <w:t xml:space="preserve"> in</w:t>
      </w:r>
      <w:r w:rsidR="006B0D40" w:rsidRPr="006B0D40">
        <w:t xml:space="preserve"> </w:t>
      </w:r>
      <w:r w:rsidRPr="006B0D40">
        <w:t xml:space="preserve">response to </w:t>
      </w:r>
      <w:r w:rsidR="00141EF8">
        <w:t>extensive</w:t>
      </w:r>
      <w:r w:rsidR="006B0D40" w:rsidRPr="006B0D40">
        <w:t xml:space="preserve"> natural disturbances</w:t>
      </w:r>
      <w:r w:rsidR="00A941F7">
        <w:t xml:space="preserve">. The </w:t>
      </w:r>
      <w:r w:rsidR="006A5F72">
        <w:t xml:space="preserve">wildfires of 2017 prompted the </w:t>
      </w:r>
      <w:r w:rsidR="00A941F7">
        <w:t>development of this document</w:t>
      </w:r>
      <w:r w:rsidR="006A5F72">
        <w:t xml:space="preserve">; however, </w:t>
      </w:r>
      <w:r w:rsidR="00A941F7">
        <w:t xml:space="preserve">the guidance is intended </w:t>
      </w:r>
      <w:r w:rsidR="006A5F72">
        <w:t>for</w:t>
      </w:r>
      <w:r w:rsidR="00A941F7">
        <w:t xml:space="preserve"> general</w:t>
      </w:r>
      <w:r w:rsidR="006A5F72">
        <w:t xml:space="preserve"> application</w:t>
      </w:r>
      <w:r w:rsidR="00A941F7">
        <w:t>.</w:t>
      </w:r>
    </w:p>
    <w:p w14:paraId="7A6AAD52" w14:textId="065F5031" w:rsidR="002B4262" w:rsidRPr="006B0D40" w:rsidRDefault="001650B5" w:rsidP="006B0D40">
      <w:pPr>
        <w:jc w:val="both"/>
      </w:pPr>
      <w:r>
        <w:rPr>
          <w:noProof/>
          <w:lang w:val="en-CA" w:eastAsia="en-CA"/>
        </w:rPr>
        <mc:AlternateContent>
          <mc:Choice Requires="wps">
            <w:drawing>
              <wp:anchor distT="91440" distB="91440" distL="114300" distR="114300" simplePos="0" relativeHeight="251662848" behindDoc="0" locked="0" layoutInCell="1" allowOverlap="1" wp14:anchorId="46407501" wp14:editId="5B6D7D37">
                <wp:simplePos x="0" y="0"/>
                <wp:positionH relativeFrom="page">
                  <wp:posOffset>4639310</wp:posOffset>
                </wp:positionH>
                <wp:positionV relativeFrom="paragraph">
                  <wp:posOffset>991870</wp:posOffset>
                </wp:positionV>
                <wp:extent cx="2301875" cy="1403985"/>
                <wp:effectExtent l="0" t="0" r="0" b="444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1875" cy="1403985"/>
                        </a:xfrm>
                        <a:prstGeom prst="rect">
                          <a:avLst/>
                        </a:prstGeom>
                        <a:noFill/>
                        <a:ln w="9525">
                          <a:noFill/>
                          <a:miter lim="800000"/>
                          <a:headEnd/>
                          <a:tailEnd/>
                        </a:ln>
                      </wps:spPr>
                      <wps:txbx>
                        <w:txbxContent>
                          <w:p w14:paraId="44151B6C" w14:textId="7E37A89F" w:rsidR="00742B64" w:rsidRPr="001C4256" w:rsidRDefault="00742B64" w:rsidP="00101B5A">
                            <w:pPr>
                              <w:pBdr>
                                <w:top w:val="single" w:sz="24" w:space="8" w:color="5B9BD5" w:themeColor="accent1"/>
                                <w:bottom w:val="single" w:sz="24" w:space="8" w:color="5B9BD5" w:themeColor="accent1"/>
                              </w:pBdr>
                              <w:spacing w:after="0" w:line="240" w:lineRule="auto"/>
                              <w:jc w:val="both"/>
                              <w:rPr>
                                <w:i/>
                                <w:iCs/>
                                <w:color w:val="5B9BD5" w:themeColor="accent1"/>
                              </w:rPr>
                            </w:pPr>
                            <w:r w:rsidRPr="001C4256">
                              <w:rPr>
                                <w:b/>
                                <w:i/>
                                <w:iCs/>
                                <w:color w:val="5B9BD5" w:themeColor="accent1"/>
                                <w:u w:val="single"/>
                              </w:rPr>
                              <w:t xml:space="preserve">BOX 1. </w:t>
                            </w:r>
                            <w:r>
                              <w:rPr>
                                <w:b/>
                                <w:i/>
                                <w:iCs/>
                                <w:color w:val="5B9BD5" w:themeColor="accent1"/>
                                <w:u w:val="single"/>
                              </w:rPr>
                              <w:t>Retention planning:</w:t>
                            </w:r>
                            <w:r>
                              <w:rPr>
                                <w:i/>
                                <w:iCs/>
                                <w:color w:val="5B9BD5" w:themeColor="accent1"/>
                              </w:rPr>
                              <w:t xml:space="preserve"> before undertaking salvage logging following natural disturbance, planning for </w:t>
                            </w:r>
                            <w:r w:rsidRPr="00C65DCA">
                              <w:rPr>
                                <w:i/>
                                <w:iCs/>
                                <w:color w:val="5B9BD5" w:themeColor="accent1"/>
                              </w:rPr>
                              <w:t>landscape connectivity, interior forest and intact ecosystem attributes (e.g., overstory trees, vegetation communities, soils, other live and decaying forest structure) that will be retained for habitat, hydrologic function, mid-term timber supply</w:t>
                            </w:r>
                            <w:r>
                              <w:rPr>
                                <w:i/>
                                <w:iCs/>
                                <w:color w:val="5B9BD5" w:themeColor="accent1"/>
                              </w:rPr>
                              <w:t xml:space="preserve"> and other values;</w:t>
                            </w:r>
                            <w:r w:rsidRPr="00C65DCA">
                              <w:rPr>
                                <w:i/>
                                <w:iCs/>
                                <w:color w:val="5B9BD5" w:themeColor="accent1"/>
                              </w:rPr>
                              <w:t xml:space="preserve"> and to support recovery at stand and landscape scales</w:t>
                            </w:r>
                            <w:r w:rsidRPr="001C4256">
                              <w:rPr>
                                <w:i/>
                                <w:iCs/>
                                <w:color w:val="5B9BD5" w:themeColor="accent1"/>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65.3pt;margin-top:78.1pt;width:181.25pt;height:110.55pt;z-index:25166284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" filled="f" stroked="f">
                <v:textbox style="mso-fit-shape-to-text:t">
                  <w:txbxContent>
                    <w:p w14:paraId="44151B6C" w14:textId="7E37A89F" w:rsidR="00742B64" w:rsidRPr="001C4256" w:rsidRDefault="00742B64" w:rsidP="00101B5A">
                      <w:pPr>
                        <w:pBdr>
                          <w:top w:val="single" w:sz="24" w:space="8" w:color="5B9BD5" w:themeColor="accent1"/>
                          <w:bottom w:val="single" w:sz="24" w:space="8" w:color="5B9BD5" w:themeColor="accent1"/>
                        </w:pBdr>
                        <w:spacing w:after="0" w:line="240" w:lineRule="auto"/>
                        <w:jc w:val="both"/>
                        <w:rPr>
                          <w:i/>
                          <w:iCs/>
                          <w:color w:val="5B9BD5" w:themeColor="accent1"/>
                        </w:rPr>
                      </w:pPr>
                      <w:r w:rsidRPr="001C4256">
                        <w:rPr>
                          <w:b/>
                          <w:i/>
                          <w:iCs/>
                          <w:color w:val="5B9BD5" w:themeColor="accent1"/>
                          <w:u w:val="single"/>
                        </w:rPr>
                        <w:t xml:space="preserve">BOX 1. </w:t>
                      </w:r>
                      <w:r>
                        <w:rPr>
                          <w:b/>
                          <w:i/>
                          <w:iCs/>
                          <w:color w:val="5B9BD5" w:themeColor="accent1"/>
                          <w:u w:val="single"/>
                        </w:rPr>
                        <w:t>Retention planning:</w:t>
                      </w:r>
                      <w:r>
                        <w:rPr>
                          <w:i/>
                          <w:iCs/>
                          <w:color w:val="5B9BD5" w:themeColor="accent1"/>
                        </w:rPr>
                        <w:t xml:space="preserve"> before undertaking salvage logging following natural disturbance, planning for </w:t>
                      </w:r>
                      <w:r w:rsidRPr="00C65DCA">
                        <w:rPr>
                          <w:i/>
                          <w:iCs/>
                          <w:color w:val="5B9BD5" w:themeColor="accent1"/>
                        </w:rPr>
                        <w:t>landscape connectivity, interior forest and intact ecosystem attributes (e.g., overstory trees, vegetation communities, soils, other live and decaying forest structure) that will be retained for habitat, hydrologic function, mid-term timber supply</w:t>
                      </w:r>
                      <w:r>
                        <w:rPr>
                          <w:i/>
                          <w:iCs/>
                          <w:color w:val="5B9BD5" w:themeColor="accent1"/>
                        </w:rPr>
                        <w:t xml:space="preserve"> and other values;</w:t>
                      </w:r>
                      <w:r w:rsidRPr="00C65DCA">
                        <w:rPr>
                          <w:i/>
                          <w:iCs/>
                          <w:color w:val="5B9BD5" w:themeColor="accent1"/>
                        </w:rPr>
                        <w:t xml:space="preserve"> and to support recovery at stand and landscape scales</w:t>
                      </w:r>
                      <w:r w:rsidRPr="001C4256">
                        <w:rPr>
                          <w:i/>
                          <w:iCs/>
                          <w:color w:val="5B9BD5" w:themeColor="accent1"/>
                        </w:rPr>
                        <w:t xml:space="preserve"> </w:t>
                      </w:r>
                    </w:p>
                  </w:txbxContent>
                </v:textbox>
                <w10:wrap type="square" anchorx="page"/>
              </v:shape>
            </w:pict>
          </mc:Fallback>
        </mc:AlternateContent>
      </w:r>
      <w:r w:rsidR="006A5F72">
        <w:t xml:space="preserve">Providing government guidance is a fundamental part of the professional reliance model. </w:t>
      </w:r>
      <w:r w:rsidR="00B405C1">
        <w:t>When tackling a new situation</w:t>
      </w:r>
      <w:r w:rsidR="001044F0">
        <w:t>,</w:t>
      </w:r>
      <w:r w:rsidR="00B405C1">
        <w:t xml:space="preserve"> and to </w:t>
      </w:r>
      <w:r w:rsidR="00A941F7">
        <w:t xml:space="preserve">provide clarity </w:t>
      </w:r>
      <w:r w:rsidR="00B405C1">
        <w:t xml:space="preserve">on government expectations for the use of Crown resources, guidance </w:t>
      </w:r>
      <w:r w:rsidR="00794422">
        <w:t>of this type</w:t>
      </w:r>
      <w:r w:rsidR="00B405C1">
        <w:t xml:space="preserve"> enable</w:t>
      </w:r>
      <w:r w:rsidR="00794422">
        <w:t>s</w:t>
      </w:r>
      <w:r w:rsidR="00B405C1">
        <w:t xml:space="preserve"> professional</w:t>
      </w:r>
      <w:r w:rsidR="00A941F7">
        <w:t>s</w:t>
      </w:r>
      <w:r w:rsidR="00B405C1">
        <w:t xml:space="preserve"> to design the appropriate solution.</w:t>
      </w:r>
      <w:r w:rsidR="006A5F72">
        <w:t xml:space="preserve"> </w:t>
      </w:r>
      <w:r w:rsidR="006A5F72" w:rsidRPr="006B0D40">
        <w:t>The objective of this guidance is to support professionals</w:t>
      </w:r>
      <w:r w:rsidR="00D51CEC">
        <w:t xml:space="preserve"> to plan</w:t>
      </w:r>
      <w:r w:rsidR="006A5F72" w:rsidRPr="006B0D40">
        <w:t xml:space="preserve"> </w:t>
      </w:r>
      <w:r w:rsidR="00D51CEC">
        <w:t>and</w:t>
      </w:r>
      <w:r w:rsidR="006A5F72" w:rsidRPr="006B0D40">
        <w:t xml:space="preserve"> </w:t>
      </w:r>
      <w:r w:rsidR="00D51CEC">
        <w:t>implement</w:t>
      </w:r>
      <w:r w:rsidR="006A5F72" w:rsidRPr="006B0D40">
        <w:t xml:space="preserve"> effective retention </w:t>
      </w:r>
      <w:r w:rsidR="00E7106B">
        <w:t xml:space="preserve">(see Box 1) </w:t>
      </w:r>
      <w:r w:rsidR="006A5F72" w:rsidRPr="006B0D40">
        <w:t xml:space="preserve">while conducting salvage </w:t>
      </w:r>
      <w:r w:rsidR="009F1237">
        <w:t>logging</w:t>
      </w:r>
      <w:r w:rsidR="006A5F72" w:rsidRPr="006B0D40">
        <w:t>.</w:t>
      </w:r>
    </w:p>
    <w:p w14:paraId="3B4B6502" w14:textId="5E8DA411" w:rsidR="00C65DCA" w:rsidRDefault="00B405C1" w:rsidP="006B0D40">
      <w:pPr>
        <w:jc w:val="both"/>
      </w:pPr>
      <w:r w:rsidRPr="006B0D40">
        <w:t xml:space="preserve">This guidance does not replace or preclude legal requirements or other sources of guidance previously issued by the </w:t>
      </w:r>
      <w:r>
        <w:t>m</w:t>
      </w:r>
      <w:r w:rsidRPr="006B0D40">
        <w:t>inistry.</w:t>
      </w:r>
      <w:r>
        <w:t xml:space="preserve"> </w:t>
      </w:r>
    </w:p>
    <w:p w14:paraId="3AC47969" w14:textId="025D6B62" w:rsidR="0094157D" w:rsidRPr="0094157D" w:rsidRDefault="0094157D" w:rsidP="00EA4F92">
      <w:pPr>
        <w:pStyle w:val="Heading1"/>
      </w:pPr>
      <w:bookmarkStart w:id="9" w:name="_Toc500170826"/>
      <w:bookmarkStart w:id="10" w:name="_Toc503934735"/>
      <w:bookmarkEnd w:id="7"/>
      <w:bookmarkEnd w:id="9"/>
      <w:r>
        <w:t>1</w:t>
      </w:r>
      <w:r>
        <w:tab/>
        <w:t>Introduction</w:t>
      </w:r>
      <w:bookmarkEnd w:id="10"/>
      <w:r>
        <w:t xml:space="preserve"> </w:t>
      </w:r>
    </w:p>
    <w:p w14:paraId="3289CCA8" w14:textId="1DEA4312" w:rsidR="00621518" w:rsidRDefault="00D51CEC" w:rsidP="00621518">
      <w:pPr>
        <w:jc w:val="both"/>
      </w:pPr>
      <w:r>
        <w:t>The 2017 wildfires were</w:t>
      </w:r>
      <w:r w:rsidR="00032DCF">
        <w:t xml:space="preserve"> the most extensive on record in B</w:t>
      </w:r>
      <w:r w:rsidR="00011D51">
        <w:t>.</w:t>
      </w:r>
      <w:r w:rsidR="00032DCF">
        <w:t>C</w:t>
      </w:r>
      <w:r w:rsidR="00011D51">
        <w:t>.’s</w:t>
      </w:r>
      <w:r w:rsidR="00032DCF">
        <w:t xml:space="preserve"> history, with </w:t>
      </w:r>
      <w:r w:rsidR="00794422">
        <w:t xml:space="preserve">an estimated </w:t>
      </w:r>
      <w:r w:rsidR="00A941F7" w:rsidRPr="00A941F7">
        <w:t>1.2 million hectares</w:t>
      </w:r>
      <w:r w:rsidR="00032DCF">
        <w:t xml:space="preserve"> burned</w:t>
      </w:r>
      <w:r w:rsidR="00A941F7" w:rsidRPr="00A941F7">
        <w:t>.</w:t>
      </w:r>
      <w:r w:rsidR="00621518">
        <w:t xml:space="preserve"> Wildfires are a natural part of the ecosystems in the interior of British Columbia</w:t>
      </w:r>
      <w:r w:rsidR="00032DCF">
        <w:t>.</w:t>
      </w:r>
      <w:r w:rsidR="00621518">
        <w:fldChar w:fldCharType="begin"/>
      </w:r>
      <w:r w:rsidR="00621518">
        <w:instrText xml:space="preserve"> ADDIN ZOTERO_ITEM CSL_CITATION {"citationID":"PLwdpb1f","properties":{"formattedCitation":"{\\rtf \\super 1\\nosupersub{}}","plainCitation":"1"},"citationItems":[{"id":845,"uris":["http://zotero.org/users/2487980/items/VQD8Z3DD"],"uri":["http://zotero.org/users/2487980/items/VQD8Z3DD"],"itemData":{"id":845,"type":"report","title":"Ecosystems of British Columbia","collection-title":"Special Report Series","publisher":"Research Branch, Ministry of Forests","publisher-place":"Victoria BC","page":"298","event-place":"Victoria BC","URL":"https://www.for.gov.bc.ca/hfd/pubs/docs/srs/srs06.htm","number":"6","author":[{"family":"Meidinger","given":"Del"},{"family":"Pojar","given":"James J."}],"issued":{"date-parts":[["1991"]]},"accessed":{"date-parts":[["2017",11,6]]}}}],"schema":"https://github.com/citation-style-language/schema/raw/master/csl-citation.json"} </w:instrText>
      </w:r>
      <w:r w:rsidR="00621518">
        <w:fldChar w:fldCharType="separate"/>
      </w:r>
      <w:r w:rsidR="00621518" w:rsidRPr="00E41584">
        <w:rPr>
          <w:rFonts w:ascii="Calibri" w:hAnsi="Calibri" w:cs="Calibri"/>
          <w:szCs w:val="24"/>
          <w:vertAlign w:val="superscript"/>
        </w:rPr>
        <w:t>1</w:t>
      </w:r>
      <w:r w:rsidR="00621518">
        <w:fldChar w:fldCharType="end"/>
      </w:r>
      <w:r w:rsidR="00032DCF">
        <w:t xml:space="preserve"> However, e</w:t>
      </w:r>
      <w:r w:rsidR="00621518">
        <w:t xml:space="preserve">vidence suggests that </w:t>
      </w:r>
      <w:r w:rsidR="00032DCF">
        <w:t xml:space="preserve">large </w:t>
      </w:r>
      <w:r w:rsidR="00621518">
        <w:t>wildfires</w:t>
      </w:r>
      <w:r w:rsidR="00032DCF">
        <w:t xml:space="preserve"> which were </w:t>
      </w:r>
      <w:r w:rsidR="00621518">
        <w:t xml:space="preserve">previously considered </w:t>
      </w:r>
      <w:r w:rsidR="00DE2623">
        <w:t>exceptional</w:t>
      </w:r>
      <w:r w:rsidR="00621518">
        <w:t xml:space="preserve"> may now </w:t>
      </w:r>
      <w:r w:rsidR="00032DCF">
        <w:t xml:space="preserve">be </w:t>
      </w:r>
      <w:r w:rsidR="00621518">
        <w:t>the ‘new normal’. T</w:t>
      </w:r>
      <w:r w:rsidR="00621518" w:rsidRPr="00C7613F">
        <w:t xml:space="preserve">he incidence of large </w:t>
      </w:r>
      <w:r w:rsidR="00AD2298">
        <w:t>wildfires</w:t>
      </w:r>
      <w:r w:rsidR="00621518" w:rsidRPr="00C7613F">
        <w:t xml:space="preserve"> </w:t>
      </w:r>
      <w:r w:rsidR="00621518">
        <w:t xml:space="preserve">in western North America </w:t>
      </w:r>
      <w:r w:rsidR="00621518" w:rsidRPr="00C7613F">
        <w:t>is projected</w:t>
      </w:r>
      <w:r w:rsidR="00621518">
        <w:t xml:space="preserve"> </w:t>
      </w:r>
      <w:r w:rsidR="00621518" w:rsidRPr="00C7613F">
        <w:t xml:space="preserve">to increase as the climate warms, </w:t>
      </w:r>
      <w:r w:rsidR="00032DCF">
        <w:t xml:space="preserve">which may result </w:t>
      </w:r>
      <w:r w:rsidR="00621518">
        <w:t xml:space="preserve">in </w:t>
      </w:r>
      <w:r w:rsidR="00621518" w:rsidRPr="00C7613F">
        <w:t xml:space="preserve">profound changes </w:t>
      </w:r>
      <w:r w:rsidR="00621518">
        <w:t>in</w:t>
      </w:r>
      <w:r w:rsidR="00621518" w:rsidRPr="00C7613F">
        <w:t xml:space="preserve"> </w:t>
      </w:r>
      <w:r w:rsidR="00FB7F2C">
        <w:t>many</w:t>
      </w:r>
      <w:r w:rsidR="00FB7F2C" w:rsidRPr="00C7613F">
        <w:t xml:space="preserve"> </w:t>
      </w:r>
      <w:r w:rsidR="00621518" w:rsidRPr="00C7613F">
        <w:t>ecosystems</w:t>
      </w:r>
      <w:r w:rsidR="00621518">
        <w:t>.</w:t>
      </w:r>
      <w:r w:rsidR="00621518">
        <w:fldChar w:fldCharType="begin"/>
      </w:r>
      <w:r w:rsidR="00621518">
        <w:instrText xml:space="preserve"> ADDIN ZOTERO_ITEM CSL_CITATION {"citationID":"MXYQHnXu","properties":{"formattedCitation":"{\\rtf \\super 2\\nosupersub{}}","plainCitation":"2"},"citationItems":[{"id":843,"uris":["http://zotero.org/users/2487980/items/WQNSRKMP"],"uri":["http://zotero.org/users/2487980/items/WQNSRKMP"],"itemData":{"id":843,"type":"chapter","title":"Droughts, floods, and wildfires","container-title":"Climate Science Special Report: Fourth National Climate Assessment, Volume I","publisher":"U.S. Global Change Research Program, Washington, DC, USA","page":"231-256","URL":"https://science2017.globalchange.gov/chapter/8/","author":[{"family":"Wehner","given":"M.F."},{"family":"Arnold","given":"J.R."},{"family":"Knutson","given":"T."},{"family":"Kunkel","given":"K.E."},{"family":"LeGrande","given":"A.N."}],"collection-editor":[{"family":"Wuebble","given":"D.J."},{"family":"Fahey","given":"D.W."}],"issued":{"date-parts":[["2017"]]},"accessed":{"date-parts":[["2017",11,5]]}}}],"schema":"https://github.com/citation-style-language/schema/raw/master/csl-citation.json"} </w:instrText>
      </w:r>
      <w:r w:rsidR="00621518">
        <w:fldChar w:fldCharType="separate"/>
      </w:r>
      <w:r w:rsidR="00621518" w:rsidRPr="00E41584">
        <w:rPr>
          <w:rFonts w:ascii="Calibri" w:hAnsi="Calibri" w:cs="Calibri"/>
          <w:szCs w:val="24"/>
          <w:vertAlign w:val="superscript"/>
        </w:rPr>
        <w:t>2</w:t>
      </w:r>
      <w:r w:rsidR="00621518">
        <w:fldChar w:fldCharType="end"/>
      </w:r>
    </w:p>
    <w:p w14:paraId="5883A9C5" w14:textId="646BB003" w:rsidR="008B4E05" w:rsidRDefault="00032DCF" w:rsidP="00621518">
      <w:pPr>
        <w:spacing w:after="120"/>
        <w:jc w:val="both"/>
      </w:pPr>
      <w:r>
        <w:t>The</w:t>
      </w:r>
      <w:r w:rsidR="00621518">
        <w:t xml:space="preserve"> </w:t>
      </w:r>
      <w:r w:rsidR="00DC1FEE">
        <w:t xml:space="preserve">response </w:t>
      </w:r>
      <w:r w:rsidR="00234521">
        <w:t xml:space="preserve">to this ‘new normal’ must consider </w:t>
      </w:r>
      <w:r w:rsidR="00064B85">
        <w:t>various</w:t>
      </w:r>
      <w:r w:rsidR="00234521">
        <w:t xml:space="preserve"> social, economic and environmental factors</w:t>
      </w:r>
      <w:r w:rsidR="0094157D">
        <w:t>.</w:t>
      </w:r>
    </w:p>
    <w:p w14:paraId="2B9E0C51" w14:textId="1E1B5D38" w:rsidR="00876997" w:rsidRDefault="00C83C2B" w:rsidP="000B0781">
      <w:pPr>
        <w:pStyle w:val="ListParagraph"/>
        <w:numPr>
          <w:ilvl w:val="0"/>
          <w:numId w:val="41"/>
        </w:numPr>
        <w:ind w:left="360"/>
        <w:jc w:val="both"/>
      </w:pPr>
      <w:r>
        <w:t>T</w:t>
      </w:r>
      <w:r w:rsidR="00671549">
        <w:t xml:space="preserve">he provincial government fully recognizes the </w:t>
      </w:r>
      <w:r w:rsidR="00671549" w:rsidRPr="00234521">
        <w:t>U</w:t>
      </w:r>
      <w:r>
        <w:t xml:space="preserve">nited </w:t>
      </w:r>
      <w:r w:rsidR="00671549" w:rsidRPr="00234521">
        <w:t>N</w:t>
      </w:r>
      <w:r>
        <w:t>ations</w:t>
      </w:r>
      <w:r w:rsidR="00671549" w:rsidRPr="00234521">
        <w:t xml:space="preserve"> Declaration on the Rights of Indigenous Peoples</w:t>
      </w:r>
      <w:r w:rsidR="00671549">
        <w:t xml:space="preserve"> (UNDRIP).</w:t>
      </w:r>
      <w:r w:rsidR="00A455C5">
        <w:t xml:space="preserve"> </w:t>
      </w:r>
      <w:r w:rsidR="00794422">
        <w:t>The Province</w:t>
      </w:r>
      <w:r w:rsidR="00794422" w:rsidRPr="00296F63">
        <w:t xml:space="preserve"> </w:t>
      </w:r>
      <w:r w:rsidR="00671549" w:rsidRPr="00296F63">
        <w:t>has made reconciliation a cross-government priority</w:t>
      </w:r>
      <w:r w:rsidR="00671549">
        <w:t xml:space="preserve"> and has indicated that “</w:t>
      </w:r>
      <w:r w:rsidR="00017FD0">
        <w:t>…</w:t>
      </w:r>
      <w:r w:rsidR="00671549">
        <w:t>a</w:t>
      </w:r>
      <w:r w:rsidR="00671549" w:rsidRPr="00296F63">
        <w:t>s we work together to address urgent challenges, like wildfire</w:t>
      </w:r>
      <w:r w:rsidR="00876997">
        <w:t>…</w:t>
      </w:r>
      <w:r w:rsidR="00671549" w:rsidRPr="00296F63">
        <w:t>response</w:t>
      </w:r>
      <w:r w:rsidR="00876997">
        <w:t>…</w:t>
      </w:r>
      <w:r w:rsidR="00671549" w:rsidRPr="00296F63">
        <w:t>we will embrace and implement UNDRIP in full partnership with Indigenous peoples</w:t>
      </w:r>
      <w:r w:rsidR="00017FD0">
        <w:t>…</w:t>
      </w:r>
      <w:r w:rsidR="00F30012">
        <w:t>.</w:t>
      </w:r>
      <w:r w:rsidR="00671549">
        <w:t>”</w:t>
      </w:r>
      <w:r w:rsidR="00641CB8">
        <w:fldChar w:fldCharType="begin"/>
      </w:r>
      <w:r w:rsidR="00E41584">
        <w:instrText xml:space="preserve"> ADDIN ZOTERO_ITEM CSL_CITATION {"citationID":"ga2bxEKO","properties":{"formattedCitation":"{\\rtf \\super 3\\nosupersub{}}","plainCitation":"3"},"citationItems":[{"id":847,"uris":["http://zotero.org/users/2487980/items/2LKV3Q5B"],"uri":["http://zotero.org/users/2487980/items/2LKV3Q5B"],"itemData":{"id":847,"type":"webpage","title":"Statement from Premier John Horgan on the 10th anniversary of the UN Declaration on the Rights of Indigenous Peoples","URL":"https://archive.news.gov.bc.ca/releases/news_releases_2017-2021/2017PREM0083-001562.htm","author":[{"family":"Office of the Premier","given":""}],"issued":{"date-parts":[["2017",9,13]]},"accessed":{"date-parts":[["2017",11,6]]}}}],"schema":"https://github.com/citation-style-language/schema/raw/master/csl-citation.json"} </w:instrText>
      </w:r>
      <w:r w:rsidR="00641CB8">
        <w:fldChar w:fldCharType="separate"/>
      </w:r>
      <w:r w:rsidR="00E41584" w:rsidRPr="00E41584">
        <w:rPr>
          <w:rFonts w:ascii="Calibri" w:hAnsi="Calibri" w:cs="Calibri"/>
          <w:szCs w:val="24"/>
          <w:vertAlign w:val="superscript"/>
        </w:rPr>
        <w:t>3</w:t>
      </w:r>
      <w:r w:rsidR="00641CB8">
        <w:fldChar w:fldCharType="end"/>
      </w:r>
      <w:r w:rsidR="00876997">
        <w:t xml:space="preserve"> </w:t>
      </w:r>
    </w:p>
    <w:p w14:paraId="7258537F" w14:textId="61C51DF4" w:rsidR="00404424" w:rsidRDefault="00C83C2B" w:rsidP="000B0781">
      <w:pPr>
        <w:pStyle w:val="ListParagraph"/>
        <w:numPr>
          <w:ilvl w:val="0"/>
          <w:numId w:val="41"/>
        </w:numPr>
        <w:ind w:left="360"/>
        <w:jc w:val="both"/>
      </w:pPr>
      <w:r>
        <w:t>T</w:t>
      </w:r>
      <w:r w:rsidR="00544D82">
        <w:t xml:space="preserve">he most severely affected </w:t>
      </w:r>
      <w:r w:rsidR="00296F63">
        <w:t>Timber Supply Areas</w:t>
      </w:r>
      <w:r w:rsidR="001227E2">
        <w:t xml:space="preserve"> (TSAs)</w:t>
      </w:r>
      <w:r w:rsidR="004320F3">
        <w:t xml:space="preserve"> </w:t>
      </w:r>
      <w:r w:rsidR="00544D82">
        <w:t>(including Quesnel, 100 Mile House and Williams Lake</w:t>
      </w:r>
      <w:r>
        <w:t>)</w:t>
      </w:r>
      <w:r w:rsidR="00F30012">
        <w:t>,</w:t>
      </w:r>
      <w:r w:rsidR="00641CB8">
        <w:fldChar w:fldCharType="begin"/>
      </w:r>
      <w:r w:rsidR="00E41584">
        <w:instrText xml:space="preserve"> ADDIN ZOTERO_ITEM CSL_CITATION {"citationID":"I8dLaAI8","properties":{"formattedCitation":"{\\rtf \\super 4\\nosupersub{}}","plainCitation":"4"},"citationItems":[{"id":851,"uris":["http://zotero.org/users/2487980/items/43A6ARXQ"],"uri":["http://zotero.org/users/2487980/items/43A6ARXQ"],"itemData":{"id":851,"type":"webpage","title":"Timber Supply Areas - Province of British Columbia","abstract":"Forest Analysis and Inventory includes collecting, monitoring and providing inventory information and analysis to assist decision making","URL":"https://www2.gov.bc.ca/gov/content/industry/forestry/managing-our-forest-resources/timber-supply-review-and-allowable-annual-cut/timber-supply-areas","language":"eng","author":[{"family":"Operations","given":"Ministry of Forests Lands and Natural Resource"}],"accessed":{"date-parts":[["2017",11,6]]}}}],"schema":"https://github.com/citation-style-language/schema/raw/master/csl-citation.json"} </w:instrText>
      </w:r>
      <w:r w:rsidR="00641CB8">
        <w:fldChar w:fldCharType="separate"/>
      </w:r>
      <w:r w:rsidR="00E41584" w:rsidRPr="00E41584">
        <w:rPr>
          <w:rFonts w:ascii="Calibri" w:hAnsi="Calibri" w:cs="Calibri"/>
          <w:szCs w:val="24"/>
          <w:vertAlign w:val="superscript"/>
        </w:rPr>
        <w:t>4</w:t>
      </w:r>
      <w:r w:rsidR="00641CB8">
        <w:fldChar w:fldCharType="end"/>
      </w:r>
      <w:r w:rsidR="00544D82">
        <w:t xml:space="preserve"> </w:t>
      </w:r>
      <w:r w:rsidR="00296F63">
        <w:t xml:space="preserve">are </w:t>
      </w:r>
      <w:r w:rsidR="00794422">
        <w:t xml:space="preserve">experiencing </w:t>
      </w:r>
      <w:r>
        <w:t xml:space="preserve">substantial decreases in </w:t>
      </w:r>
      <w:r w:rsidR="00260CE7">
        <w:t xml:space="preserve">their </w:t>
      </w:r>
      <w:r w:rsidR="00296F63">
        <w:t>Allowable Annual Cut</w:t>
      </w:r>
      <w:r w:rsidR="00260CE7">
        <w:t xml:space="preserve">s </w:t>
      </w:r>
      <w:r w:rsidR="008E7586">
        <w:t xml:space="preserve">as the </w:t>
      </w:r>
      <w:r w:rsidR="00C606A6" w:rsidRPr="001317C1">
        <w:t xml:space="preserve">mountain pine beetle </w:t>
      </w:r>
      <w:r w:rsidR="00C606A6">
        <w:t>(</w:t>
      </w:r>
      <w:r w:rsidR="00C606A6" w:rsidRPr="002466AE">
        <w:rPr>
          <w:i/>
        </w:rPr>
        <w:t>Dendroctonus ponderosae</w:t>
      </w:r>
      <w:r w:rsidR="00C606A6">
        <w:t>) (MPB)</w:t>
      </w:r>
      <w:r w:rsidR="008E7586" w:rsidRPr="008E7586">
        <w:t xml:space="preserve"> </w:t>
      </w:r>
      <w:r w:rsidR="00C606A6">
        <w:t>outbreak</w:t>
      </w:r>
      <w:r w:rsidR="00C606A6" w:rsidRPr="008E7586">
        <w:t xml:space="preserve"> </w:t>
      </w:r>
      <w:r w:rsidR="008E7586" w:rsidRPr="008E7586">
        <w:t xml:space="preserve">and the </w:t>
      </w:r>
      <w:r>
        <w:t xml:space="preserve">subsequent </w:t>
      </w:r>
      <w:r w:rsidR="008E7586" w:rsidRPr="008E7586">
        <w:t xml:space="preserve">salvage logging of dead pine </w:t>
      </w:r>
      <w:r w:rsidR="008C6AAD">
        <w:t xml:space="preserve">concludes </w:t>
      </w:r>
      <w:r w:rsidR="008E7586">
        <w:t>in those areas</w:t>
      </w:r>
      <w:r w:rsidR="00F30012">
        <w:t>.</w:t>
      </w:r>
      <w:r w:rsidR="00641CB8">
        <w:fldChar w:fldCharType="begin"/>
      </w:r>
      <w:r w:rsidR="00E41584">
        <w:instrText xml:space="preserve"> ADDIN ZOTERO_ITEM CSL_CITATION {"citationID":"3IzeCVF7","properties":{"formattedCitation":"{\\rtf \\super 5\\nosupersub{}}","plainCitation":"5"},"citationItems":[{"id":849,"uris":["http://zotero.org/users/2487980/items/56GECKMV"],"uri":["http://zotero.org/users/2487980/items/56GECKMV"],"itemData":{"id":849,"type":"webpage","title":"New allowable annual cut set for Quesnel Timber Supply Area | BC Gov News","abstract":"Effective immediately, the new allowable annual cut for the Quesnel Timber Supply Area is set at 2,607,000 cubic metres, chief forester Diane Nicholls announced.","URL":"https://news.gov.bc.ca/releases/2017FLNR0122-001246","author":[{"family":"Forests Lands Natural Resource Operations and Rural Development","given":""}],"issued":{"date-parts":[["2017",6,16]]},"accessed":{"date-parts":[["2017",11,6]]}}}],"schema":"https://github.com/citation-style-language/schema/raw/master/csl-citation.json"} </w:instrText>
      </w:r>
      <w:r w:rsidR="00641CB8">
        <w:fldChar w:fldCharType="separate"/>
      </w:r>
      <w:r w:rsidR="00E41584" w:rsidRPr="00E41584">
        <w:rPr>
          <w:rFonts w:ascii="Calibri" w:hAnsi="Calibri" w:cs="Calibri"/>
          <w:szCs w:val="24"/>
          <w:vertAlign w:val="superscript"/>
        </w:rPr>
        <w:t>5</w:t>
      </w:r>
      <w:r w:rsidR="00641CB8">
        <w:fldChar w:fldCharType="end"/>
      </w:r>
      <w:r w:rsidR="00354B74">
        <w:t xml:space="preserve"> </w:t>
      </w:r>
      <w:r w:rsidR="00296F63">
        <w:t xml:space="preserve">The </w:t>
      </w:r>
      <w:r w:rsidR="008C6AAD">
        <w:t xml:space="preserve">2017 </w:t>
      </w:r>
      <w:r w:rsidR="00AD2298">
        <w:t>wildfires</w:t>
      </w:r>
      <w:r w:rsidR="00296F63">
        <w:t xml:space="preserve"> have damaged timber</w:t>
      </w:r>
      <w:r w:rsidR="00D51CEC">
        <w:t xml:space="preserve"> </w:t>
      </w:r>
      <w:r w:rsidR="000E4A94">
        <w:t xml:space="preserve">that was </w:t>
      </w:r>
      <w:r w:rsidR="00D51CEC">
        <w:t>previously</w:t>
      </w:r>
      <w:r w:rsidR="00296F63">
        <w:t xml:space="preserve"> </w:t>
      </w:r>
      <w:r w:rsidR="00D51CEC">
        <w:t>projected to</w:t>
      </w:r>
      <w:r w:rsidR="00296F63">
        <w:t xml:space="preserve"> contribute to </w:t>
      </w:r>
      <w:r w:rsidR="00D51CEC">
        <w:t xml:space="preserve">future timber </w:t>
      </w:r>
      <w:r w:rsidR="00354B74">
        <w:t>harvest</w:t>
      </w:r>
      <w:r w:rsidR="008C6AAD">
        <w:t xml:space="preserve"> (mid-term timber supply)</w:t>
      </w:r>
      <w:r w:rsidR="00B801E5">
        <w:t xml:space="preserve"> </w:t>
      </w:r>
      <w:r w:rsidR="00354B74">
        <w:t xml:space="preserve">in those areas. </w:t>
      </w:r>
    </w:p>
    <w:p w14:paraId="4D970249" w14:textId="621AFD71" w:rsidR="00404424" w:rsidRDefault="00FB7F2C" w:rsidP="000B0781">
      <w:pPr>
        <w:pStyle w:val="ListParagraph"/>
        <w:numPr>
          <w:ilvl w:val="0"/>
          <w:numId w:val="41"/>
        </w:numPr>
        <w:ind w:left="360"/>
        <w:jc w:val="both"/>
      </w:pPr>
      <w:r>
        <w:t>T</w:t>
      </w:r>
      <w:r w:rsidR="007B790A">
        <w:t xml:space="preserve">he </w:t>
      </w:r>
      <w:r w:rsidR="007B790A" w:rsidRPr="007B790A">
        <w:t xml:space="preserve">wildfires </w:t>
      </w:r>
      <w:r w:rsidR="00C51D6B">
        <w:t xml:space="preserve">had negative effects on </w:t>
      </w:r>
      <w:r w:rsidR="00EC66DE">
        <w:t>many special management areas; notably Old Growth Management Areas and Ungulate Winter Ranges in the Cariboo forest region</w:t>
      </w:r>
      <w:r w:rsidR="00EC66DE">
        <w:rPr>
          <w:rStyle w:val="FootnoteReference"/>
        </w:rPr>
        <w:footnoteReference w:id="2"/>
      </w:r>
      <w:r w:rsidR="00EC66DE">
        <w:t xml:space="preserve"> (although other areas of the southern interior we</w:t>
      </w:r>
      <w:r w:rsidR="00B801E5">
        <w:t>re</w:t>
      </w:r>
      <w:r w:rsidR="00EC66DE">
        <w:t xml:space="preserve"> also affected; see Section 3)</w:t>
      </w:r>
      <w:r w:rsidR="001B0DBA">
        <w:t>,</w:t>
      </w:r>
      <w:r w:rsidR="00EC66DE">
        <w:t xml:space="preserve"> and likely significant negative effects on watershed functions in many areas. </w:t>
      </w:r>
    </w:p>
    <w:p w14:paraId="2A2D495C" w14:textId="24BDD605" w:rsidR="00EC66DE" w:rsidRDefault="00011D51" w:rsidP="000B0781">
      <w:pPr>
        <w:pStyle w:val="ListParagraph"/>
        <w:numPr>
          <w:ilvl w:val="0"/>
          <w:numId w:val="41"/>
        </w:numPr>
        <w:ind w:left="360"/>
        <w:jc w:val="both"/>
      </w:pPr>
      <w:r>
        <w:lastRenderedPageBreak/>
        <w:t xml:space="preserve">The wildfires </w:t>
      </w:r>
      <w:r w:rsidRPr="007B790A">
        <w:t xml:space="preserve">occurred </w:t>
      </w:r>
      <w:r>
        <w:t>in landscapes that recently experienced a large, severe disturbance from the MPB outbreak, as well as salvage logging done to recover value from that outbreak.</w:t>
      </w:r>
      <w:r w:rsidR="0022622C">
        <w:t xml:space="preserve"> </w:t>
      </w:r>
      <w:r w:rsidR="009143E7">
        <w:t>P</w:t>
      </w:r>
      <w:r w:rsidR="004320F3">
        <w:t xml:space="preserve">ost-fire salvage logging </w:t>
      </w:r>
      <w:r w:rsidR="00B51ECA">
        <w:t xml:space="preserve">would be </w:t>
      </w:r>
      <w:r w:rsidR="009143E7">
        <w:t xml:space="preserve">an additional </w:t>
      </w:r>
      <w:r w:rsidR="00671549">
        <w:t>disturbance</w:t>
      </w:r>
      <w:r w:rsidR="00BB7369">
        <w:t xml:space="preserve">, and </w:t>
      </w:r>
      <w:r w:rsidR="003A7A06">
        <w:t xml:space="preserve">it </w:t>
      </w:r>
      <w:r w:rsidR="00BB7369">
        <w:t xml:space="preserve">must be </w:t>
      </w:r>
      <w:r w:rsidR="00C51D6B">
        <w:t xml:space="preserve">designed and implemented </w:t>
      </w:r>
      <w:r w:rsidR="00017FD0">
        <w:t>in t</w:t>
      </w:r>
      <w:r w:rsidR="00BB7369">
        <w:t xml:space="preserve">he </w:t>
      </w:r>
      <w:r w:rsidR="00017FD0">
        <w:t xml:space="preserve">context of its interactions </w:t>
      </w:r>
      <w:r w:rsidR="002E5893">
        <w:t xml:space="preserve">with </w:t>
      </w:r>
      <w:r w:rsidR="00BB7369">
        <w:t>the existing landscape condition</w:t>
      </w:r>
      <w:r w:rsidR="002E5893">
        <w:t>;</w:t>
      </w:r>
      <w:r w:rsidR="002B6DB6">
        <w:t xml:space="preserve"> including previous and ongoing </w:t>
      </w:r>
      <w:r w:rsidR="009400A7">
        <w:t xml:space="preserve">resource development and other natural </w:t>
      </w:r>
      <w:r w:rsidR="002B6DB6">
        <w:t>disturbances</w:t>
      </w:r>
      <w:r w:rsidR="00E43F0E">
        <w:t>, future climate uncertainty</w:t>
      </w:r>
      <w:r w:rsidR="003A7A06">
        <w:t xml:space="preserve">, and the potential of multiple, interacting disturbances </w:t>
      </w:r>
      <w:r w:rsidR="00E172BA">
        <w:t xml:space="preserve">that may </w:t>
      </w:r>
      <w:r w:rsidR="00017FD0">
        <w:t>result in</w:t>
      </w:r>
      <w:r w:rsidR="003A7A06">
        <w:t xml:space="preserve"> a loss of </w:t>
      </w:r>
      <w:r w:rsidR="00017FD0">
        <w:t xml:space="preserve">ecological </w:t>
      </w:r>
      <w:r w:rsidR="003A7A06">
        <w:t>resilience</w:t>
      </w:r>
      <w:r w:rsidR="00856F52">
        <w:t>.</w:t>
      </w:r>
      <w:r w:rsidR="00C51D6B">
        <w:fldChar w:fldCharType="begin"/>
      </w:r>
      <w:r w:rsidR="004C2E00">
        <w:instrText xml:space="preserve"> ADDIN ZOTERO_ITEM CSL_CITATION {"citationID":"acrpo1pec9","properties":{"formattedCitation":"{\\rtf \\super 6,7\\nosupersub{}}","plainCitation":"6,7"},"citationItems":[{"id":773,"uris":["http://zotero.org/users/2487980/items/NMQWCZCF"],"uri":["http://zotero.org/users/2487980/items/NMQWCZCF"],"itemData":{"id":773,"type":"report","title":"Ecological resilience and complexity: a theoretical framework for understanding and managing British Columbia’s forest ecosystems in a changing climate","publisher":"MFLNRO","publisher-place":"Victoria BC","genre":"Technical Report","event-place":"Victoria BC","abstract":"This Technical Report is one of a series of foundation papers for the British Columbia Ministry of Forests and Range's Future Forest Ecosystems Initiative (FFEI). The series of foundation papers will increase awareness about the potential impact of climate change on forest range resources in British Columbia. It will also provide information to help assess the vulnerability of British Columbia's forest and range resources to climate change and guide the development of adaptation strategies.\n\nThis report summarizes the theory of ecological resilience and explores how this aspect of complex system science provides guidance for managing forests in a changing climate.","URL":"https://www.for.gov.bc.ca/hfd/pubs/docs/tr/tr055.htm","number":"55","author":[{"family":"Campbell","given":"Elizabeth"},{"family":"Saunders","given":"Sari C."},{"family":"coates","given":"K. D."},{"family":"Meidinger","given":"Del"},{"family":"MacKinnon","given":"Andy"},{"family":"O'Neill","given":"Greg"},{"family":"MacKillop","given":"Deb"},{"family":"DeLong","given":"S. Craig"},{"family":"Morgan","given":"Don"}],"issued":{"date-parts":[["2009"]]},"accessed":{"date-parts":[["2017",10,4]]}}},{"id":791,"uris":["http://zotero.org/users/2487980/items/ZISEZT4A"],"uri":["http://zotero.org/users/2487980/items/ZISEZT4A"],"itemData":{"id":791,"type":"article-journal","title":"Restoring fire-prone Inland Pacific landscapes: seven core principles","container-title":"Landscape Ecology","page":"1805-1835","volume":"30","issue":"10","source":"link.springer.com","abstract":"ContextMore than a century of forest and fire management of Inland Pacific landscapes has transformed their successional and disturbance dynamics. Regional connectivity of many terrestrial and aquatic habitats is fragmented, flows of some ecological and physical processes have been altered in space and time, and the frequency, size and intensity of many disturbances that configure these habitats have been altered. Current efforts to address these impacts yield a small footprint in comparison to wildfires and insect outbreaks. Moreover, many current projects emphasize thinning and fuels reduction within individual forest stands, while overlooking large-scale habitat connectivity and disturbance flow issues.MethodsWe provide a framework for landscape restoration, offering seven principles. We discuss their implication for management, and illustrate their application with examples.ResultsHistorical forests were spatially heterogeneous at multiple scales. Heterogeneity was the result of variability and interactions among native ecological patterns and processes, including successional and disturbance processes regulated by climatic and topographic drivers. Native flora and fauna were adapted to these conditions, which conferred a measure of resilience to variability in climate and recurrent contagious disturbances.ConclusionsTo restore key characteristics of this resilience to current landscapes, planning and management are needed at ecoregion, local landscape, successional patch, and tree neighborhood scales. Restoration that works effectively across ownerships and allocations will require active thinking about landscapes as socio-ecological systems that provide services to people within the finite capacities of ecosystems. We focus attention on landscape-level prescriptions as foundational to restoration planning and execution.","DOI":"10.1007/s10980-015-0218-0","ISSN":"0921-2973, 1572-9761","shortTitle":"Restoring fire-prone Inland Pacific landscapes","journalAbbreviation":"Landscape Ecol","language":"en","author":[{"family":"Hessburg","given":"Paul F."},{"family":"Churchill","given":"Derek J."},{"family":"Larson","given":"Andrew J."},{"family":"Haugo","given":"Ryan D."},{"family":"Miller","given":"Carol"},{"family":"Spies","given":"Thomas A."},{"family":"North","given":"Malcolm P."},{"family":"Povak","given":"Nicholas A."},{"family":"Belote","given":"R. Travis"},{"family":"Singleton","given":"Peter H."},{"family":"Gaines","given":"William L."},{"family":"Keane","given":"Robert E."},{"family":"Aplet","given":"Gregory H."},{"family":"Stephens","given":"Scott L."},{"family":"Morgan","given":"Penelope"},{"family":"Bisson","given":"Peter A."},{"family":"Rieman","given":"Bruce E."},{"family":"Salter","given":"R. Brion"},{"family":"Reeves","given":"Gordon H."}],"issued":{"date-parts":[["2015",12,1]]}}}],"schema":"https://github.com/citation-style-language/schema/raw/master/csl-citation.json"} </w:instrText>
      </w:r>
      <w:r w:rsidR="00C51D6B">
        <w:fldChar w:fldCharType="separate"/>
      </w:r>
      <w:r w:rsidR="004C2E00" w:rsidRPr="004C2E00">
        <w:rPr>
          <w:rFonts w:ascii="Calibri" w:hAnsi="Calibri" w:cs="Calibri"/>
          <w:szCs w:val="24"/>
          <w:vertAlign w:val="superscript"/>
        </w:rPr>
        <w:t>6,7</w:t>
      </w:r>
      <w:r w:rsidR="00C51D6B">
        <w:fldChar w:fldCharType="end"/>
      </w:r>
      <w:r w:rsidR="00C51D6B">
        <w:t xml:space="preserve"> </w:t>
      </w:r>
    </w:p>
    <w:p w14:paraId="75E61E83" w14:textId="2F209B15" w:rsidR="00404424" w:rsidRDefault="00404424" w:rsidP="004579CF">
      <w:pPr>
        <w:pStyle w:val="ListParagraph"/>
        <w:numPr>
          <w:ilvl w:val="0"/>
          <w:numId w:val="41"/>
        </w:numPr>
        <w:ind w:left="360"/>
        <w:jc w:val="both"/>
      </w:pPr>
      <w:r>
        <w:t xml:space="preserve">Salvage </w:t>
      </w:r>
      <w:r w:rsidR="001B0DBA">
        <w:t>logging</w:t>
      </w:r>
      <w:r>
        <w:t xml:space="preserve">, in an effort to recover value from the damaged timber, must be </w:t>
      </w:r>
      <w:r w:rsidR="00E172BA">
        <w:t>expedited</w:t>
      </w:r>
      <w:r>
        <w:t xml:space="preserve"> before the wood quality deteriorates.</w:t>
      </w:r>
      <w:r>
        <w:fldChar w:fldCharType="begin"/>
      </w:r>
      <w:r w:rsidR="004C2E00">
        <w:instrText xml:space="preserve"> ADDIN ZOTERO_ITEM CSL_CITATION {"citationID":"cmL8LfVb","properties":{"formattedCitation":"{\\rtf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p>
    <w:p w14:paraId="4DDA84B0" w14:textId="1EFD9092" w:rsidR="00A455C5" w:rsidRDefault="00655A88" w:rsidP="00A455C5">
      <w:pPr>
        <w:jc w:val="both"/>
      </w:pPr>
      <w:r>
        <w:t>While the use of salvage logging can be a pro-active part of a larger strategy for landscape recovery</w:t>
      </w:r>
      <w:r w:rsidR="000633BF">
        <w:t>,</w:t>
      </w:r>
      <w:r>
        <w:fldChar w:fldCharType="begin"/>
      </w:r>
      <w:r w:rsidR="004C2E00">
        <w:instrText xml:space="preserve"> ADDIN ZOTERO_ITEM CSL_CITATION {"citationID":"PeGb9PmI","properties":{"formattedCitation":"{\\rtf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r>
        <w:t xml:space="preserve"> it must be accomplished with the greatest of care</w:t>
      </w:r>
      <w:r w:rsidR="00EC66DE" w:rsidRPr="00E62BE2">
        <w:t>.</w:t>
      </w:r>
      <w:r w:rsidR="0012005A" w:rsidRPr="00EF0B95">
        <w:t xml:space="preserve"> </w:t>
      </w:r>
      <w:r w:rsidR="00A455C5" w:rsidRPr="00EF0B95">
        <w:t xml:space="preserve">Previous experience indicates that post-fire salvage logging </w:t>
      </w:r>
      <w:r w:rsidR="00113EA4" w:rsidRPr="00EF0B95">
        <w:t>often</w:t>
      </w:r>
      <w:r w:rsidR="00A455C5" w:rsidRPr="00EF0B95">
        <w:t xml:space="preserve"> has negative effects on some ecosystem </w:t>
      </w:r>
      <w:r w:rsidR="00422713" w:rsidRPr="00EF0B95">
        <w:t xml:space="preserve">values </w:t>
      </w:r>
      <w:r w:rsidR="00A455C5" w:rsidRPr="00EF0B95">
        <w:t>(</w:t>
      </w:r>
      <w:r w:rsidR="00422713" w:rsidRPr="00EF0B95">
        <w:t>i.e., ecosystem services</w:t>
      </w:r>
      <w:r w:rsidR="00011D51">
        <w:t xml:space="preserve">; </w:t>
      </w:r>
      <w:r w:rsidR="00A455C5" w:rsidRPr="00EF0B95">
        <w:t>Millennium Ecosystem Assessment</w:t>
      </w:r>
      <w:r w:rsidR="00A455C5" w:rsidRPr="00EF0B95">
        <w:rPr>
          <w:b/>
          <w:u w:val="single"/>
        </w:rPr>
        <w:fldChar w:fldCharType="begin"/>
      </w:r>
      <w:r w:rsidR="0012005A" w:rsidRPr="00EF0B95">
        <w:rPr>
          <w:b/>
          <w:u w:val="single"/>
        </w:rPr>
        <w:instrText xml:space="preserve"> ADDIN ZOTERO_ITEM CSL_CITATION {"citationID":"a28mbuileem","properties":{"formattedCitation":"{\\rtf \\super 9\\nosupersub{}}","plainCitation":"9"},"citationItems":[{"id":803,"uris":["http://zotero.org/users/2487980/items/MXMU2MXJ"],"uri":["http://zotero.org/users/2487980/items/MXMU2MXJ"],"itemData":{"id":803,"type":"book","title":"Millennium Ecosystem Assessment, 2005. Ecosystems and Human Well-being: Synthesis.","publisher":"Island Press","publisher-place":"Washington DC","event-place":"Washington DC","URL":"https://www.millenniumassessment.org/documents/document.356.aspx.pdf","author":[{"family":"Reid","given":"Walter"},{"family":"et al.","given":""}],"issued":{"date-parts":[["2005"]]},"accessed":{"date-parts":[["2017",10,15]]}}}],"schema":"https://github.com/citation-style-language/schema/raw/master/csl-citation.json"} </w:instrText>
      </w:r>
      <w:r w:rsidR="00A455C5" w:rsidRPr="00EF0B95">
        <w:rPr>
          <w:b/>
          <w:u w:val="single"/>
        </w:rPr>
        <w:fldChar w:fldCharType="separate"/>
      </w:r>
      <w:r w:rsidR="0012005A" w:rsidRPr="00EF0B95">
        <w:rPr>
          <w:rFonts w:ascii="Calibri" w:hAnsi="Calibri" w:cs="Calibri"/>
          <w:szCs w:val="24"/>
          <w:vertAlign w:val="superscript"/>
        </w:rPr>
        <w:t>9</w:t>
      </w:r>
      <w:r w:rsidR="00A455C5" w:rsidRPr="00EF0B95">
        <w:rPr>
          <w:b/>
          <w:u w:val="single"/>
        </w:rPr>
        <w:fldChar w:fldCharType="end"/>
      </w:r>
      <w:r w:rsidR="0012005A" w:rsidRPr="00EF0B95">
        <w:t>)</w:t>
      </w:r>
      <w:r w:rsidR="00EC66DE" w:rsidRPr="00EF0B95">
        <w:t>;</w:t>
      </w:r>
      <w:r w:rsidR="00A455C5" w:rsidRPr="00EF0B95">
        <w:t xml:space="preserve"> </w:t>
      </w:r>
      <w:r w:rsidR="0012005A" w:rsidRPr="00EF0B95">
        <w:t xml:space="preserve">particularly those </w:t>
      </w:r>
      <w:r w:rsidR="00614707" w:rsidRPr="00EF0B95">
        <w:t xml:space="preserve">values </w:t>
      </w:r>
      <w:r w:rsidR="0012005A" w:rsidRPr="00EF0B95">
        <w:t>related to soil productivity</w:t>
      </w:r>
      <w:r w:rsidR="000633BF" w:rsidRPr="00EF0B95">
        <w:t>,</w:t>
      </w:r>
      <w:r w:rsidR="0012005A" w:rsidRPr="00EF0B95">
        <w:fldChar w:fldCharType="begin"/>
      </w:r>
      <w:r w:rsidR="004C2E00">
        <w:instrText xml:space="preserve"> ADDIN ZOTERO_ITEM CSL_CITATION {"citationID":"an70m1nof2","properties":{"formattedCitation":"{\\rtf \\super 8,10\\nosupersub{}}","plainCitation":"8,10"},"citationItems":[{"id":610,"uris":["http://zotero.org/users/2487980/items/3MA9CEJ9"],"uri":["http://zotero.org/users/2487980/items/3MA9CEJ9"],"itemData":{"id":610,"type":"report","title":"Effects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S."}],"issued":{"date-parts":[["2009"]]},"accessed":{"date-parts":[["2017",8,28]]}}},{"id":828,"uris":["http://zotero.org/users/2487980/items/5SNKBFKV"],"uri":["http://zotero.org/users/2487980/items/5SNKBFKV"],"itemData":{"id":828,"type":"article-journal","title":"The Effects of Postfire Salvage Logging on Aquatic Ecosystems in the American West","container-title":"BioScience","page":"1029-1033","volume":"54","issue":"11","source":"academic.oup.com","abstract":"Recent changes in the forest policies, regulations, and laws affecting public lands encourage postfire salvage logging, an activity that all too often delays or prevents recovery. In contrast, the 10 recommendations proposed here can improve the condition of watersheds and aquatic ecosystems.","DOI":"10.1641/0006-3568(2004)054[1029:TEOPSL]2.0.CO;2","ISSN":"0006-3568","journalAbbreviation":"BioScience","author":[{"family":"Karr","given":"James R."},{"family":"Rhodes","given":"Jonathan J."},{"family":"Minshall","given":"G. Wayne"},{"family":"Hauer","given":"F. Richard"},{"family":"Beschta","given":"Robert L."},{"family":"Frissell","given":"Christopher A."},{"family":"Perry","given":"David A."}],"issued":{"date-parts":[["2004",11,1]]}}}],"schema":"https://github.com/citation-style-language/schema/raw/master/csl-citation.json"} </w:instrText>
      </w:r>
      <w:r w:rsidR="0012005A" w:rsidRPr="00EF0B95">
        <w:fldChar w:fldCharType="separate"/>
      </w:r>
      <w:r w:rsidR="004C2E00" w:rsidRPr="004C2E00">
        <w:rPr>
          <w:rFonts w:ascii="Calibri" w:hAnsi="Calibri" w:cs="Calibri"/>
          <w:szCs w:val="24"/>
          <w:vertAlign w:val="superscript"/>
        </w:rPr>
        <w:t>8,10</w:t>
      </w:r>
      <w:r w:rsidR="0012005A" w:rsidRPr="00EF0B95">
        <w:fldChar w:fldCharType="end"/>
      </w:r>
      <w:r w:rsidR="0012005A" w:rsidRPr="00EF0B95">
        <w:t xml:space="preserve"> water quality</w:t>
      </w:r>
      <w:r w:rsidR="0012005A" w:rsidRPr="00EF0B95">
        <w:fldChar w:fldCharType="begin"/>
      </w:r>
      <w:r w:rsidR="0012005A" w:rsidRPr="00EF0B95">
        <w:instrText xml:space="preserve"> ADDIN ZOTERO_ITEM CSL_CITATION {"citationID":"a1bo6cp8fgd","properties":{"formattedCitation":"{\\rtf \\super 11\\nosupersub{}}","plainCitation":"11"},"citationItems":[{"id":785,"uris":["http://zotero.org/users/2487980/items/Z9JZQRRB"],"uri":["http://zotero.org/users/2487980/items/Z9JZQRRB"],"itemData":{"id":785,"type":"article-journal","title":"Southern Rockies Watershed Project","container-title":"The Forestry Chronicle","page":"39-42","volume":"92","issue":"01","source":"pubs.cif-ifc.org (Atypon)","abstract":"The Southern Rockies Watershed Project was initiated in 2003 to describe the impacts of severe natural disturbance by wildfire on a broad range of headwaters, larger river basin scale, and downstream water resources (Phase I). This watershed research is unique in that trans-disciplinary linkages between hydrology, biogeochemistry, aquatic ecology, downstream river basin processes, implications for human water use, and economic implications are providing broad insights into wildfire effects on water. A second phase of the research (Phase II) focuses on evaluating the effects of several alternative forest harvesting practices on these same water resource “values”. Collectively, this research is providing comprehensive information on watershed function after forest disturbance in Rocky Mountain watersheds.","DOI":"10.5558/tfc2016-012","ISSN":"0015-7546","journalAbbreviation":"The Forestry Chronicle","author":[{"family":"Silins","given":"Uldis"},{"family":"Anderson","given":"Axel"},{"family":"Bladon","given":"Kevin D."},{"family":"Emelko","given":"Monica B."},{"family":"Stone","given":"Micheal"},{"family":"Spencer","given":"Sheena A."},{"family":"Williams","given":"Chris H.S."},{"family":"Wagner","given":"Michael J."},{"family":"Martens","given":"Amanda M."},{"family":"Hawthorn","given":"Kirk"}],"issued":{"date-parts":[["2016",1,1]]}}}],"schema":"https://github.com/citation-style-language/schema/raw/master/csl-citation.json"} </w:instrText>
      </w:r>
      <w:r w:rsidR="0012005A" w:rsidRPr="00EF0B95">
        <w:fldChar w:fldCharType="separate"/>
      </w:r>
      <w:r w:rsidR="0012005A" w:rsidRPr="00EF0B95">
        <w:rPr>
          <w:rFonts w:ascii="Calibri" w:hAnsi="Calibri" w:cs="Calibri"/>
          <w:szCs w:val="24"/>
          <w:vertAlign w:val="superscript"/>
        </w:rPr>
        <w:t>11</w:t>
      </w:r>
      <w:r w:rsidR="0012005A" w:rsidRPr="00EF0B95">
        <w:fldChar w:fldCharType="end"/>
      </w:r>
      <w:r w:rsidR="0012005A" w:rsidRPr="00EF0B95">
        <w:t xml:space="preserve"> and water regulation</w:t>
      </w:r>
      <w:r w:rsidR="0012005A" w:rsidRPr="00EF0B95">
        <w:fldChar w:fldCharType="begin"/>
      </w:r>
      <w:r w:rsidR="0012005A" w:rsidRPr="00EF0B95">
        <w:instrText xml:space="preserve"> ADDIN ZOTERO_ITEM CSL_CITATION {"citationID":"a1itk3r1nnt","properties":{"formattedCitation":"{\\rtf \\super 12\\nosupersub{}}","plainCitation":"12"},"citationItems":[{"id":782,"uris":["http://zotero.org/users/2487980/items/FAKIBWJT"],"uri":["http://zotero.org/users/2487980/items/FAKIBWJT"],"itemData":{"id":782,"type":"article-journal","title":"Post-wildfire debris flows in southern British Columbia, Canada","container-title":"International Journal of Wildland Fire","page":"322-336","volume":"25","issue":"3","source":"www.publish.csiro.au","abstract":"Several post-wildfire debris flows and other landslides occurred after the extreme wildfire season of 2003 in the southern interior of British Columbia. Such events had not been previously reported in Canada, although they are common in lower latitudes. Severe wildfire seasons also were experienced in 2007 and 2009, and additional events were observed in four fires. Post-wildfire landslides have occurred in spring, summer and fall (autumn); events have been triggered by spring snowmelt, high-intensity summer rainstorms and low-intensity fall rainstorms. Of a total of 36 documented events, 23 were debris flows, and the most common initiating mechanism was high peak flow in channels. Most sediment in these events was derived from the channels, not from erosion in burned areas. Seven of the events were infiltration-triggered debris slides, and six events were debris floods. A variety of hydrologic changes can contribute to the prevalence of post-wildfire landslides and floods, including an increase in snowmelt rate. High-severity burn in catchment headwaters above steep channels is a topographic factor favouring debris flow occurrence. These observations demonstrate that the likelihood of debris flows and other mass-movement events in susceptible terrain is significantly increased following severe wildfire in this snow-dominated environment.","DOI":"10.1071/WF14070","ISSN":"1448-5516","journalAbbreviation":"Int. J. Wildland Fire","language":"en","author":[{"family":"Jordan","given":"Peter"}],"issued":{"date-parts":[["2016",3,24]]}}}],"schema":"https://github.com/citation-style-language/schema/raw/master/csl-citation.json"} </w:instrText>
      </w:r>
      <w:r w:rsidR="0012005A" w:rsidRPr="00EF0B95">
        <w:fldChar w:fldCharType="separate"/>
      </w:r>
      <w:r w:rsidR="0012005A" w:rsidRPr="00EF0B95">
        <w:rPr>
          <w:rFonts w:ascii="Calibri" w:hAnsi="Calibri" w:cs="Calibri"/>
          <w:szCs w:val="24"/>
          <w:vertAlign w:val="superscript"/>
        </w:rPr>
        <w:t>12</w:t>
      </w:r>
      <w:r w:rsidR="0012005A" w:rsidRPr="00EF0B95">
        <w:fldChar w:fldCharType="end"/>
      </w:r>
      <w:r w:rsidR="0012005A" w:rsidRPr="00EF0B95">
        <w:t xml:space="preserve"> </w:t>
      </w:r>
      <w:r w:rsidR="00113DEC" w:rsidRPr="00EF0B95">
        <w:t>(Section 4)</w:t>
      </w:r>
      <w:r w:rsidR="00A455C5" w:rsidRPr="00EF0B95">
        <w:t xml:space="preserve">. Effects on other services, </w:t>
      </w:r>
      <w:r w:rsidR="00EC66DE" w:rsidRPr="00EF0B95">
        <w:t xml:space="preserve">for example, </w:t>
      </w:r>
      <w:r w:rsidR="00A455C5" w:rsidRPr="00EF0B95">
        <w:t xml:space="preserve">those related to </w:t>
      </w:r>
      <w:r w:rsidR="0012005A" w:rsidRPr="00EF0B95">
        <w:t>wildlife</w:t>
      </w:r>
      <w:r w:rsidR="00A455C5" w:rsidRPr="00EF0B95">
        <w:t>,</w:t>
      </w:r>
      <w:r w:rsidR="0012005A" w:rsidRPr="00EF0B95">
        <w:fldChar w:fldCharType="begin"/>
      </w:r>
      <w:r w:rsidR="0012005A" w:rsidRPr="00EF0B95">
        <w:instrText xml:space="preserve"> ADDIN ZOTERO_ITEM CSL_CITATION {"citationID":"af1ipoq3j6","properties":{"formattedCitation":"{\\rtf \\super 13\\nosupersub{}}","plainCitation":"13"},"citationItems":[{"id":662,"uris":["http://zotero.org/users/2487980/items/E292D336"],"uri":["http://zotero.org/users/2487980/items/E292D336"],"itemData":{"id":662,"type":"article-journal","title":"Impacts of salvage logging on biodiversity: a meta-analysis","container-title":"Journal of Applied Ecology","page":"n/a-n/a","source":"Wiley Online Library","abstract":"*\nLogging to “salvage” economic returns from forests affected by natural disturbances has become increasingly prevalent globally. Despite potential negative effects on biodiversity, salvage logging is often conducted, even in areas otherwise excluded from logging and reserved for nature conservation, inter alia because strategic priorities for post-disturbance management are widely lacking.\n\n\n\n*\nA review of the existing literature revealed that most studies investigating the effects of salvage logging on biodiversity have been conducted less than 5 years following natural disturbances, and focused on non-saproxylic organisms.\n\n\n\n*\nA meta-analysis across 24 species groups revealed that salvage logging significantly decreases numbers of species of eight taxonomic groups. Richness of dead wood dependent taxa (i.e. saproxylic organisms) decreased more strongly than richness of non-saproxylic taxa. In contrast, taxonomic groups typically associated with open habitats increased in the number of species after salvage logging.\n\n\n\n*\nBy analysing 134 original species abundance matrices, we demonstrate that salvage logging significantly alters community composition in 7 of 17 species groups, particularly affecting saproxylic assemblages.\n\n\n\n*\nSynthesis and applications. Our results suggest that salvage logging is not consistent with the management objectives of protected areas. Substantial changes, such as the retention of dead wood in naturally disturbed forests, are needed to support biodiversity. Future research should investigate the amount and spatio-temporal distribution of retained dead wood needed to maintain all components of biodiversity.","DOI":"10.1111/1365-2664.12945","ISSN":"1365-2664","shortTitle":"Impacts of salvage logging on biodiversity","journalAbbreviation":"J Appl Ecol","language":"en","author":[{"family":"Thorn","given":"Simon"},{"family":"Bässler","given":"Claus"},{"family":"Brandl","given":"Roland"},{"family":"Burton","given":"Philip J."},{"family":"Cahall","given":"Rebecca"},{"family":"Campbell","given":"John L."},{"family":"Castro","given":"Jorge"},{"family":"Choi","given":"Chang-Yong"},{"family":"Cobb","given":"Tyler"},{"family":"Donato","given":"Daniel C."},{"family":"Durska","given":"Ewa"},{"family":"Fontaine","given":"Joseph B."},{"family":"Gauthier","given":"Sylvie"},{"family":"Hebert","given":"Christian"},{"family":"Hothorn","given":"Torsten"},{"family":"Hutto","given":"Richard L."},{"family":"Lee","given":"Eun-Jae"},{"family":"Leverkus","given":"Alexandro B."},{"family":"Lindenmayer","given":"David B."},{"family":"Obrist","given":"Martin K."},{"family":"Rost","given":"Josep"},{"family":"Seibold","given":"Sebastian"},{"family":"Seidl","given":"Rupert"},{"family":"Thom","given":"Dominik"},{"family":"Waldron","given":"Kaysandra"},{"family":"Wermelinger","given":"Beat"},{"family":"Winter","given":"Maria-Barbara"},{"family":"Zmihorski","given":"Michal"},{"family":"Müller","given":"Jörg"}],"issued":{"date-parts":[["2017"]]}}}],"schema":"https://github.com/citation-style-language/schema/raw/master/csl-citation.json"} </w:instrText>
      </w:r>
      <w:r w:rsidR="0012005A" w:rsidRPr="00EF0B95">
        <w:fldChar w:fldCharType="separate"/>
      </w:r>
      <w:r w:rsidR="0012005A" w:rsidRPr="00EF0B95">
        <w:rPr>
          <w:rFonts w:ascii="Calibri" w:hAnsi="Calibri" w:cs="Calibri"/>
          <w:szCs w:val="24"/>
          <w:vertAlign w:val="superscript"/>
        </w:rPr>
        <w:t>13</w:t>
      </w:r>
      <w:r w:rsidR="0012005A" w:rsidRPr="00EF0B95">
        <w:fldChar w:fldCharType="end"/>
      </w:r>
      <w:r w:rsidR="00A455C5" w:rsidRPr="00EF0B95">
        <w:t xml:space="preserve"> have been shown to be negative, neutral or positive in the face of post-fire salvage. </w:t>
      </w:r>
      <w:r w:rsidR="000E4A94" w:rsidRPr="00EF0B95">
        <w:t>Beyond the effects of the wildfires themselves, t</w:t>
      </w:r>
      <w:r w:rsidR="00A455C5" w:rsidRPr="00EF0B95">
        <w:t xml:space="preserve">he potential negative effects of post-fire salvage on some ecosystem </w:t>
      </w:r>
      <w:r w:rsidR="00614707" w:rsidRPr="00EF0B95">
        <w:t xml:space="preserve">values </w:t>
      </w:r>
      <w:r w:rsidR="00A941F7" w:rsidRPr="00EF0B95">
        <w:t xml:space="preserve">may be difficult </w:t>
      </w:r>
      <w:r w:rsidR="00DC1FEE" w:rsidRPr="00EF0B95">
        <w:t>to remediate</w:t>
      </w:r>
      <w:r w:rsidR="00811CD6" w:rsidRPr="00EF0B95">
        <w:t xml:space="preserve">, may require long timelines for remediation </w:t>
      </w:r>
      <w:r w:rsidR="00DC1FEE" w:rsidRPr="00EF0B95">
        <w:t>(</w:t>
      </w:r>
      <w:r w:rsidR="00811CD6" w:rsidRPr="00EF0B95">
        <w:t xml:space="preserve">i.e., </w:t>
      </w:r>
      <w:r w:rsidR="00DC1FEE" w:rsidRPr="00EF0B95">
        <w:t>decades</w:t>
      </w:r>
      <w:r w:rsidR="00A941F7" w:rsidRPr="00EF0B95">
        <w:t>)</w:t>
      </w:r>
      <w:r w:rsidR="00811CD6" w:rsidRPr="00EF0B95">
        <w:t xml:space="preserve"> or they may be irreversible</w:t>
      </w:r>
      <w:r w:rsidR="000E4A94" w:rsidRPr="00EF0B95">
        <w:t xml:space="preserve"> in the context of forest management </w:t>
      </w:r>
      <w:r w:rsidR="001B0DBA" w:rsidRPr="00EF0B95">
        <w:t xml:space="preserve">time </w:t>
      </w:r>
      <w:r w:rsidR="000E4A94" w:rsidRPr="00EF0B95">
        <w:t>horizons</w:t>
      </w:r>
      <w:r w:rsidR="00A455C5" w:rsidRPr="00EF0B95">
        <w:t>.</w:t>
      </w:r>
      <w:r w:rsidR="00A455C5">
        <w:t xml:space="preserve"> </w:t>
      </w:r>
    </w:p>
    <w:p w14:paraId="53212B4E" w14:textId="2801F0EC" w:rsidR="00A455C5" w:rsidRDefault="00E172BA" w:rsidP="00720BB9">
      <w:pPr>
        <w:pStyle w:val="ListParagraph"/>
        <w:numPr>
          <w:ilvl w:val="0"/>
          <w:numId w:val="41"/>
        </w:numPr>
        <w:ind w:left="360"/>
        <w:jc w:val="both"/>
      </w:pPr>
      <w:r>
        <w:t xml:space="preserve">Correspondingly, an environmentally focused </w:t>
      </w:r>
      <w:r w:rsidR="00A455C5">
        <w:t xml:space="preserve">and cautious approach to planning retention during salvage </w:t>
      </w:r>
      <w:r w:rsidR="001B0DBA">
        <w:t>logging</w:t>
      </w:r>
      <w:r w:rsidR="00A455C5">
        <w:t xml:space="preserve"> is warranted</w:t>
      </w:r>
      <w:r w:rsidR="00AD20FC">
        <w:t xml:space="preserve">. </w:t>
      </w:r>
    </w:p>
    <w:p w14:paraId="3A87213C" w14:textId="7AB5AE7E" w:rsidR="00A455C5" w:rsidRDefault="00A455C5" w:rsidP="00A455C5">
      <w:pPr>
        <w:jc w:val="both"/>
      </w:pPr>
      <w:r>
        <w:t>Over 2</w:t>
      </w:r>
      <w:r w:rsidR="00742B64">
        <w:t>2</w:t>
      </w:r>
      <w:r>
        <w:t>,000,000 m</w:t>
      </w:r>
      <w:r>
        <w:rPr>
          <w:vertAlign w:val="superscript"/>
        </w:rPr>
        <w:t>3</w:t>
      </w:r>
      <w:r>
        <w:t xml:space="preserve"> of </w:t>
      </w:r>
      <w:r w:rsidR="00742B64">
        <w:t xml:space="preserve">green </w:t>
      </w:r>
      <w:r>
        <w:t xml:space="preserve">timber in the </w:t>
      </w:r>
      <w:r w:rsidR="00176486">
        <w:t>timber harvesting land base (</w:t>
      </w:r>
      <w:r>
        <w:t>THLB</w:t>
      </w:r>
      <w:r w:rsidR="00176486">
        <w:t>)</w:t>
      </w:r>
      <w:r>
        <w:t xml:space="preserve"> may have been </w:t>
      </w:r>
      <w:r w:rsidR="00AD2298">
        <w:t xml:space="preserve">burned </w:t>
      </w:r>
      <w:r>
        <w:t xml:space="preserve">by the 2017 </w:t>
      </w:r>
      <w:r w:rsidR="00AD2298">
        <w:t>wildfires</w:t>
      </w:r>
      <w:r>
        <w:t xml:space="preserve"> in the four most severely affected TSAs (Section 3). </w:t>
      </w:r>
      <w:r w:rsidR="00811CD6">
        <w:t>The wildfires burned a</w:t>
      </w:r>
      <w:r>
        <w:t>n additional 1</w:t>
      </w:r>
      <w:r w:rsidR="00742B64">
        <w:t>2</w:t>
      </w:r>
      <w:r>
        <w:t>,000,000 m</w:t>
      </w:r>
      <w:r>
        <w:rPr>
          <w:vertAlign w:val="superscript"/>
        </w:rPr>
        <w:t>3</w:t>
      </w:r>
      <w:r>
        <w:t xml:space="preserve"> </w:t>
      </w:r>
      <w:r w:rsidR="002805A5">
        <w:t>of timber that was already dead</w:t>
      </w:r>
      <w:r>
        <w:t xml:space="preserve"> </w:t>
      </w:r>
      <w:r w:rsidR="002805A5">
        <w:t>(</w:t>
      </w:r>
      <w:r>
        <w:t>kil</w:t>
      </w:r>
      <w:r w:rsidR="002805A5">
        <w:t>led by MPB</w:t>
      </w:r>
      <w:r w:rsidR="000633BF">
        <w:t>;</w:t>
      </w:r>
      <w:r>
        <w:t xml:space="preserve"> Section 3). The volume of timber killed and/or burned is substantially greater</w:t>
      </w:r>
      <w:r w:rsidR="00176486">
        <w:t xml:space="preserve"> than</w:t>
      </w:r>
      <w:r>
        <w:t xml:space="preserve"> the allowable annual cut</w:t>
      </w:r>
      <w:r w:rsidR="009B238A">
        <w:t xml:space="preserve"> (AAC)</w:t>
      </w:r>
      <w:r>
        <w:t xml:space="preserve"> in the most severely affected TSAs. Given that the ‘shelf life’ of burnt timber is only </w:t>
      </w:r>
      <w:r w:rsidR="00811CD6">
        <w:t>two</w:t>
      </w:r>
      <w:r>
        <w:t xml:space="preserve"> or </w:t>
      </w:r>
      <w:r w:rsidR="00811CD6">
        <w:t>three</w:t>
      </w:r>
      <w:r>
        <w:t xml:space="preserve"> years,</w:t>
      </w:r>
      <w:r>
        <w:fldChar w:fldCharType="begin"/>
      </w:r>
      <w:r w:rsidR="004C2E00">
        <w:instrText xml:space="preserve"> ADDIN ZOTERO_ITEM CSL_CITATION {"citationID":"ao2lnbvjgm","properties":{"formattedCitation":"{\\rtf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r>
        <w:t xml:space="preserve"> it is unlikely that all of it can be salvage </w:t>
      </w:r>
      <w:r w:rsidR="001B0DBA">
        <w:t>logged</w:t>
      </w:r>
      <w:r>
        <w:t xml:space="preserve">. </w:t>
      </w:r>
    </w:p>
    <w:p w14:paraId="6D12C2BA" w14:textId="09641CA6" w:rsidR="00A455C5" w:rsidRDefault="001044F0" w:rsidP="00A455C5">
      <w:pPr>
        <w:pStyle w:val="ListParagraph"/>
        <w:numPr>
          <w:ilvl w:val="0"/>
          <w:numId w:val="44"/>
        </w:numPr>
        <w:jc w:val="both"/>
      </w:pPr>
      <w:r>
        <w:t>P</w:t>
      </w:r>
      <w:r w:rsidR="00A455C5">
        <w:t xml:space="preserve">lanners should focus on what </w:t>
      </w:r>
      <w:r w:rsidR="00EE4F4F">
        <w:t>to</w:t>
      </w:r>
      <w:r w:rsidR="00A455C5">
        <w:t xml:space="preserve"> retain</w:t>
      </w:r>
      <w:r w:rsidR="00EE4F4F">
        <w:t>,</w:t>
      </w:r>
      <w:r w:rsidR="00A455C5">
        <w:t xml:space="preserve"> rather than on what </w:t>
      </w:r>
      <w:r w:rsidR="00EE4F4F">
        <w:t xml:space="preserve">to </w:t>
      </w:r>
      <w:r w:rsidR="00851265">
        <w:t>log</w:t>
      </w:r>
      <w:r w:rsidR="00A455C5">
        <w:t>.</w:t>
      </w:r>
    </w:p>
    <w:p w14:paraId="4D7D41CC" w14:textId="0A415DA9" w:rsidR="001B0DBA" w:rsidRDefault="001F1E4D" w:rsidP="00E447DF">
      <w:pPr>
        <w:jc w:val="both"/>
      </w:pPr>
      <w:r>
        <w:t>A</w:t>
      </w:r>
      <w:r w:rsidR="00E447DF">
        <w:t xml:space="preserve"> </w:t>
      </w:r>
      <w:r w:rsidR="004B1A0B">
        <w:t>systematic</w:t>
      </w:r>
      <w:r w:rsidR="004B1A0B" w:rsidRPr="00907708">
        <w:t xml:space="preserve"> </w:t>
      </w:r>
      <w:r w:rsidR="00E447DF" w:rsidRPr="00907708">
        <w:t xml:space="preserve">approach to </w:t>
      </w:r>
      <w:r w:rsidR="00E447DF">
        <w:t xml:space="preserve">retention </w:t>
      </w:r>
      <w:r w:rsidR="00E447DF" w:rsidRPr="00907708">
        <w:t>planning</w:t>
      </w:r>
      <w:r w:rsidR="00E447DF">
        <w:t xml:space="preserve"> is </w:t>
      </w:r>
      <w:r w:rsidR="00811CD6">
        <w:t>warranted; however,</w:t>
      </w:r>
      <w:r w:rsidR="00E447DF">
        <w:t xml:space="preserve"> this should not be construed as a call for </w:t>
      </w:r>
      <w:r w:rsidR="004B1A0B">
        <w:t xml:space="preserve">integrated </w:t>
      </w:r>
      <w:r w:rsidR="00E447DF">
        <w:t>land-use planning</w:t>
      </w:r>
      <w:r w:rsidR="00200937">
        <w:t xml:space="preserve"> to occur prior to </w:t>
      </w:r>
      <w:r w:rsidR="006C38FF">
        <w:t xml:space="preserve">commencing </w:t>
      </w:r>
      <w:r w:rsidR="00200937">
        <w:t>salvage logging</w:t>
      </w:r>
      <w:r w:rsidR="00E447DF">
        <w:t xml:space="preserve">. </w:t>
      </w:r>
      <w:r w:rsidR="009E158C">
        <w:t>Likewise, the urgency for prompt</w:t>
      </w:r>
      <w:r w:rsidR="00E43B83">
        <w:t xml:space="preserve"> salvage </w:t>
      </w:r>
      <w:r w:rsidR="00851265">
        <w:t xml:space="preserve">logging </w:t>
      </w:r>
      <w:r w:rsidR="009E158C">
        <w:t>to recover economic value from burn</w:t>
      </w:r>
      <w:r w:rsidR="008709C1">
        <w:t>t</w:t>
      </w:r>
      <w:r w:rsidR="009E158C">
        <w:t xml:space="preserve"> wood should not be construed as a rationale to dispense with retention planning. </w:t>
      </w:r>
    </w:p>
    <w:p w14:paraId="0948D3B2" w14:textId="23FF1AFF" w:rsidR="00200937" w:rsidRDefault="00426D03" w:rsidP="0087334D">
      <w:pPr>
        <w:pStyle w:val="ListParagraph"/>
        <w:numPr>
          <w:ilvl w:val="0"/>
          <w:numId w:val="44"/>
        </w:numPr>
        <w:jc w:val="both"/>
      </w:pPr>
      <w:r>
        <w:t>The need to plan</w:t>
      </w:r>
      <w:r w:rsidR="00200937">
        <w:t xml:space="preserve"> for effective retention </w:t>
      </w:r>
      <w:r w:rsidR="001F1E4D">
        <w:t>in</w:t>
      </w:r>
      <w:r w:rsidR="004B1A0B">
        <w:t xml:space="preserve"> short time </w:t>
      </w:r>
      <w:r>
        <w:t>frames</w:t>
      </w:r>
      <w:r w:rsidR="004B1A0B">
        <w:t xml:space="preserve"> to support</w:t>
      </w:r>
      <w:r w:rsidR="00200937">
        <w:t xml:space="preserve"> salvage logging following natural disturbance requires a high degree of coordination, cooperation and efficiency.</w:t>
      </w:r>
    </w:p>
    <w:p w14:paraId="0C15EC00" w14:textId="5BD29EE1" w:rsidR="00E447DF" w:rsidRDefault="00E447DF" w:rsidP="00E447DF">
      <w:pPr>
        <w:jc w:val="both"/>
      </w:pPr>
      <w:r>
        <w:t xml:space="preserve">The provincial government will ensure that retention planning </w:t>
      </w:r>
      <w:r w:rsidR="00811CD6">
        <w:t xml:space="preserve">involves the engagement of </w:t>
      </w:r>
      <w:r w:rsidR="009B238A">
        <w:t xml:space="preserve">impacted communities and </w:t>
      </w:r>
      <w:r>
        <w:t>Indigenous peopl</w:t>
      </w:r>
      <w:r w:rsidR="00811CD6">
        <w:t xml:space="preserve">e, </w:t>
      </w:r>
      <w:r>
        <w:t xml:space="preserve">addresses </w:t>
      </w:r>
      <w:r w:rsidRPr="00907708">
        <w:t>multiple values and objectives</w:t>
      </w:r>
      <w:r w:rsidR="00811CD6">
        <w:t>,</w:t>
      </w:r>
      <w:r>
        <w:t xml:space="preserve"> and </w:t>
      </w:r>
      <w:r w:rsidR="00811CD6">
        <w:t xml:space="preserve">mitigates the </w:t>
      </w:r>
      <w:r>
        <w:t>cumulative impacts of resource development</w:t>
      </w:r>
      <w:r w:rsidR="00811CD6">
        <w:t xml:space="preserve"> in affected landscapes</w:t>
      </w:r>
      <w:r>
        <w:t>.</w:t>
      </w:r>
    </w:p>
    <w:p w14:paraId="35D74BA9" w14:textId="6007CB15" w:rsidR="00A455C5" w:rsidRDefault="00A455C5">
      <w:pPr>
        <w:rPr>
          <w:rFonts w:asciiTheme="majorHAnsi" w:eastAsiaTheme="majorEastAsia" w:hAnsiTheme="majorHAnsi" w:cstheme="majorBidi"/>
          <w:color w:val="2E74B5" w:themeColor="accent1" w:themeShade="BF"/>
          <w:sz w:val="32"/>
          <w:szCs w:val="32"/>
        </w:rPr>
      </w:pPr>
      <w:r>
        <w:br w:type="page"/>
      </w:r>
    </w:p>
    <w:p w14:paraId="571772EB" w14:textId="112B7E2C" w:rsidR="009D2B41" w:rsidRDefault="00530CE7" w:rsidP="009D2B41">
      <w:pPr>
        <w:pStyle w:val="Heading1"/>
      </w:pPr>
      <w:bookmarkStart w:id="11" w:name="_Toc497371795"/>
      <w:bookmarkStart w:id="12" w:name="_Toc503934736"/>
      <w:bookmarkStart w:id="13" w:name="_Toc494874438"/>
      <w:r>
        <w:lastRenderedPageBreak/>
        <w:t>2</w:t>
      </w:r>
      <w:r w:rsidR="009D2B41">
        <w:tab/>
        <w:t xml:space="preserve">Retention </w:t>
      </w:r>
      <w:r w:rsidR="004F2E35">
        <w:t>G</w:t>
      </w:r>
      <w:r w:rsidR="009D2B41">
        <w:t>uidance</w:t>
      </w:r>
      <w:bookmarkEnd w:id="11"/>
      <w:bookmarkEnd w:id="12"/>
      <w:r w:rsidR="009D2B41">
        <w:t xml:space="preserve"> </w:t>
      </w:r>
    </w:p>
    <w:p w14:paraId="0416E303" w14:textId="47EAB4D9" w:rsidR="00AD2298" w:rsidRDefault="004F2E35" w:rsidP="004F2E35">
      <w:pPr>
        <w:jc w:val="both"/>
      </w:pPr>
      <w:r>
        <w:t xml:space="preserve">When planning retention during salvage </w:t>
      </w:r>
      <w:r w:rsidR="00797ADD">
        <w:t>logging</w:t>
      </w:r>
      <w:r w:rsidR="00856A78">
        <w:t>,</w:t>
      </w:r>
      <w:r>
        <w:t xml:space="preserve"> there are </w:t>
      </w:r>
      <w:r w:rsidR="004B6A63">
        <w:t xml:space="preserve">six </w:t>
      </w:r>
      <w:r w:rsidR="00906EE2">
        <w:t xml:space="preserve">points of </w:t>
      </w:r>
      <w:r w:rsidR="004B6A63">
        <w:t xml:space="preserve">overarching </w:t>
      </w:r>
      <w:r w:rsidR="00906EE2">
        <w:t xml:space="preserve">guidance </w:t>
      </w:r>
      <w:r w:rsidR="00113DEC">
        <w:t>that should be contemplated</w:t>
      </w:r>
      <w:r w:rsidR="00A455C5">
        <w:t xml:space="preserve"> </w:t>
      </w:r>
      <w:r w:rsidR="00113DEC" w:rsidRPr="00DC1FEE">
        <w:rPr>
          <w:u w:val="single"/>
        </w:rPr>
        <w:t>i</w:t>
      </w:r>
      <w:r w:rsidR="004B6A63" w:rsidRPr="00DC1FEE">
        <w:rPr>
          <w:u w:val="single"/>
        </w:rPr>
        <w:t xml:space="preserve">n </w:t>
      </w:r>
      <w:r w:rsidRPr="00DC1FEE">
        <w:rPr>
          <w:u w:val="single"/>
        </w:rPr>
        <w:t>order of priority</w:t>
      </w:r>
      <w:r w:rsidR="00113DEC">
        <w:t>.</w:t>
      </w:r>
    </w:p>
    <w:p w14:paraId="5D8F3927" w14:textId="1228D183" w:rsidR="00AD2298" w:rsidRDefault="00AD2298" w:rsidP="00AD2298">
      <w:pPr>
        <w:pStyle w:val="ListParagraph"/>
        <w:numPr>
          <w:ilvl w:val="0"/>
          <w:numId w:val="54"/>
        </w:numPr>
        <w:jc w:val="both"/>
      </w:pPr>
      <w:r>
        <w:t>E</w:t>
      </w:r>
      <w:r w:rsidRPr="006E125D">
        <w:t>nsur</w:t>
      </w:r>
      <w:r>
        <w:t>e</w:t>
      </w:r>
      <w:r w:rsidRPr="006E125D">
        <w:t xml:space="preserve"> human safety </w:t>
      </w:r>
      <w:r>
        <w:t>and m</w:t>
      </w:r>
      <w:r w:rsidRPr="006E125D">
        <w:t>inimiz</w:t>
      </w:r>
      <w:r>
        <w:t>e</w:t>
      </w:r>
      <w:r w:rsidRPr="006E125D">
        <w:t xml:space="preserve"> damage to </w:t>
      </w:r>
      <w:r w:rsidR="00614707">
        <w:t>existing</w:t>
      </w:r>
      <w:r w:rsidR="00614707" w:rsidRPr="006E125D">
        <w:t xml:space="preserve"> </w:t>
      </w:r>
      <w:r w:rsidRPr="006E125D">
        <w:t>infrastructure</w:t>
      </w:r>
      <w:r w:rsidR="000633BF">
        <w:t>.</w:t>
      </w:r>
    </w:p>
    <w:p w14:paraId="5A907CE2" w14:textId="42FA388D" w:rsidR="00AD2298" w:rsidRDefault="00A941F7" w:rsidP="00AD2298">
      <w:pPr>
        <w:pStyle w:val="ListParagraph"/>
        <w:numPr>
          <w:ilvl w:val="0"/>
          <w:numId w:val="54"/>
        </w:numPr>
        <w:tabs>
          <w:tab w:val="left" w:pos="6300"/>
        </w:tabs>
        <w:jc w:val="both"/>
      </w:pPr>
      <w:r>
        <w:t>Sustai</w:t>
      </w:r>
      <w:r w:rsidR="00404424">
        <w:t xml:space="preserve">n, restore or enhance </w:t>
      </w:r>
      <w:r>
        <w:t xml:space="preserve">the </w:t>
      </w:r>
      <w:r w:rsidR="000633BF">
        <w:t xml:space="preserve">capacity </w:t>
      </w:r>
      <w:r>
        <w:t xml:space="preserve">of ecosystems to provide </w:t>
      </w:r>
      <w:r w:rsidR="000633BF">
        <w:t xml:space="preserve">ecosystem </w:t>
      </w:r>
      <w:r w:rsidR="00614707">
        <w:t>values</w:t>
      </w:r>
      <w:r w:rsidR="000633BF">
        <w:t>,</w:t>
      </w:r>
      <w:r>
        <w:t xml:space="preserve"> such as </w:t>
      </w:r>
      <w:r w:rsidR="000633BF">
        <w:t xml:space="preserve">those related </w:t>
      </w:r>
      <w:r>
        <w:t>water quality and wildlife habitat</w:t>
      </w:r>
      <w:r w:rsidR="000633BF">
        <w:t>.</w:t>
      </w:r>
    </w:p>
    <w:p w14:paraId="7413E3A2" w14:textId="1CC1615D" w:rsidR="00AD2298" w:rsidRDefault="00AD2298" w:rsidP="00AD2298">
      <w:pPr>
        <w:pStyle w:val="ListParagraph"/>
        <w:numPr>
          <w:ilvl w:val="0"/>
          <w:numId w:val="54"/>
        </w:numPr>
        <w:tabs>
          <w:tab w:val="left" w:pos="6300"/>
        </w:tabs>
        <w:jc w:val="both"/>
      </w:pPr>
      <w:r>
        <w:t>Consider the collective disturbances on the landscape to mitigate cumulative impacts on environmental and societal values</w:t>
      </w:r>
      <w:r w:rsidR="000633BF">
        <w:t>.</w:t>
      </w:r>
    </w:p>
    <w:p w14:paraId="3A10AF85" w14:textId="1FF515AD" w:rsidR="00AD2298" w:rsidRDefault="00AD2298" w:rsidP="00AD2298">
      <w:pPr>
        <w:pStyle w:val="ListParagraph"/>
        <w:numPr>
          <w:ilvl w:val="0"/>
          <w:numId w:val="54"/>
        </w:numPr>
        <w:jc w:val="both"/>
      </w:pPr>
      <w:r>
        <w:t xml:space="preserve">Facilitate </w:t>
      </w:r>
      <w:r w:rsidR="000633BF">
        <w:t xml:space="preserve">the </w:t>
      </w:r>
      <w:r>
        <w:t>adaptation of forests to improve resilience to climate change</w:t>
      </w:r>
      <w:r w:rsidR="000633BF">
        <w:t>.</w:t>
      </w:r>
    </w:p>
    <w:p w14:paraId="2D2A49EC" w14:textId="251B5533" w:rsidR="00AD2298" w:rsidRDefault="00AD2298" w:rsidP="00AD2298">
      <w:pPr>
        <w:pStyle w:val="ListParagraph"/>
        <w:numPr>
          <w:ilvl w:val="0"/>
          <w:numId w:val="54"/>
        </w:numPr>
        <w:jc w:val="both"/>
      </w:pPr>
      <w:r>
        <w:t xml:space="preserve">Minimize impacts to timber supply by </w:t>
      </w:r>
      <w:r w:rsidR="004E10C8">
        <w:t>shifting</w:t>
      </w:r>
      <w:r w:rsidR="000633BF">
        <w:t xml:space="preserve"> </w:t>
      </w:r>
      <w:r w:rsidR="001B0DBA">
        <w:t>logging</w:t>
      </w:r>
      <w:r>
        <w:t xml:space="preserve"> </w:t>
      </w:r>
      <w:r w:rsidR="00BD2F5F">
        <w:t>from un-damaged stands to</w:t>
      </w:r>
      <w:r w:rsidR="000633BF">
        <w:t xml:space="preserve"> </w:t>
      </w:r>
      <w:r>
        <w:t>damaged stands wherever possible</w:t>
      </w:r>
      <w:r w:rsidR="000633BF">
        <w:t>.</w:t>
      </w:r>
    </w:p>
    <w:p w14:paraId="74546FF1" w14:textId="43A352A8" w:rsidR="004F2E35" w:rsidRDefault="00DC1FEE" w:rsidP="007610F7">
      <w:pPr>
        <w:pStyle w:val="ListParagraph"/>
        <w:numPr>
          <w:ilvl w:val="0"/>
          <w:numId w:val="54"/>
        </w:numPr>
        <w:jc w:val="both"/>
      </w:pPr>
      <w:r>
        <w:t>Recover value from the burnt timber before the wood quality deteriorates.</w:t>
      </w:r>
      <w:r w:rsidR="00AD2298">
        <w:t xml:space="preserve">  </w:t>
      </w:r>
      <w:r w:rsidR="004F2E35">
        <w:t xml:space="preserve"> </w:t>
      </w:r>
    </w:p>
    <w:p w14:paraId="05D430DC" w14:textId="7CD042D4" w:rsidR="00500CFB" w:rsidRDefault="00DA0FB1" w:rsidP="00500CFB">
      <w:pPr>
        <w:jc w:val="both"/>
      </w:pPr>
      <w:r w:rsidRPr="006B0D40">
        <w:t>Planning</w:t>
      </w:r>
      <w:r w:rsidR="00822423" w:rsidRPr="006B0D40">
        <w:t xml:space="preserve"> retention during salvage </w:t>
      </w:r>
      <w:r w:rsidR="00797ADD">
        <w:t xml:space="preserve">logging </w:t>
      </w:r>
      <w:r w:rsidR="00A941F7">
        <w:t xml:space="preserve">in areas burned by the </w:t>
      </w:r>
      <w:r>
        <w:t xml:space="preserve">2017 wildfires </w:t>
      </w:r>
      <w:r w:rsidR="00984C51">
        <w:t xml:space="preserve">should </w:t>
      </w:r>
      <w:r w:rsidR="00822423">
        <w:t>place</w:t>
      </w:r>
      <w:r>
        <w:t xml:space="preserve"> </w:t>
      </w:r>
      <w:r w:rsidR="00822423">
        <w:t>the consideration of</w:t>
      </w:r>
      <w:r w:rsidR="00A455C5">
        <w:t xml:space="preserve"> human safety and</w:t>
      </w:r>
      <w:r w:rsidR="00822423">
        <w:t xml:space="preserve"> long</w:t>
      </w:r>
      <w:r w:rsidR="00011D51">
        <w:t>-</w:t>
      </w:r>
      <w:r w:rsidR="00822423">
        <w:t xml:space="preserve">term </w:t>
      </w:r>
      <w:r>
        <w:t>ecosystem function</w:t>
      </w:r>
      <w:r w:rsidR="00822423">
        <w:t xml:space="preserve"> over </w:t>
      </w:r>
      <w:r w:rsidR="00113DEC">
        <w:t xml:space="preserve">the </w:t>
      </w:r>
      <w:r w:rsidR="00822423">
        <w:t>short</w:t>
      </w:r>
      <w:r w:rsidR="00011D51">
        <w:t>-</w:t>
      </w:r>
      <w:r w:rsidR="00822423">
        <w:t>term economic gain obtained from salvaging timber.</w:t>
      </w:r>
      <w:r w:rsidR="00500CFB">
        <w:t xml:space="preserve"> </w:t>
      </w:r>
    </w:p>
    <w:p w14:paraId="296C2F3F" w14:textId="34EE273A" w:rsidR="009D2B41" w:rsidRDefault="00BE62E0" w:rsidP="00543289">
      <w:pPr>
        <w:pStyle w:val="Heading2"/>
      </w:pPr>
      <w:bookmarkStart w:id="14" w:name="_Toc503934737"/>
      <w:r>
        <w:t>Guidance</w:t>
      </w:r>
      <w:r w:rsidR="00543289">
        <w:t xml:space="preserve"> for </w:t>
      </w:r>
      <w:r w:rsidR="00267EC5">
        <w:t>planning retention</w:t>
      </w:r>
      <w:bookmarkEnd w:id="14"/>
    </w:p>
    <w:p w14:paraId="73991F4C" w14:textId="34CDBE5C" w:rsidR="006B0D40" w:rsidRDefault="006B0D40" w:rsidP="00984C51">
      <w:pPr>
        <w:pStyle w:val="ListParagraph"/>
        <w:numPr>
          <w:ilvl w:val="0"/>
          <w:numId w:val="44"/>
        </w:numPr>
        <w:jc w:val="both"/>
      </w:pPr>
      <w:r w:rsidRPr="006B0D40">
        <w:t xml:space="preserve">Forest </w:t>
      </w:r>
      <w:r w:rsidR="007E602D">
        <w:t>licensees are expected to collaborate with each other</w:t>
      </w:r>
      <w:r w:rsidR="00B67BBC">
        <w:t>,</w:t>
      </w:r>
      <w:r w:rsidR="007E602D">
        <w:t xml:space="preserve"> in partnership with </w:t>
      </w:r>
      <w:r w:rsidR="00FB2BD7">
        <w:t xml:space="preserve">provincial </w:t>
      </w:r>
      <w:r w:rsidR="009B238A">
        <w:t xml:space="preserve">and local </w:t>
      </w:r>
      <w:r w:rsidR="00FB2BD7">
        <w:t>g</w:t>
      </w:r>
      <w:r w:rsidR="007E602D">
        <w:t>overnment</w:t>
      </w:r>
      <w:r w:rsidR="009B238A">
        <w:t>s</w:t>
      </w:r>
      <w:r w:rsidR="007E602D">
        <w:t xml:space="preserve"> and </w:t>
      </w:r>
      <w:r w:rsidR="00E447DF">
        <w:t>Indigenous p</w:t>
      </w:r>
      <w:r w:rsidR="00673FEF" w:rsidRPr="00673FEF">
        <w:t>eople</w:t>
      </w:r>
      <w:r w:rsidR="00B67BBC">
        <w:t>,</w:t>
      </w:r>
      <w:r w:rsidR="007E602D">
        <w:t xml:space="preserve"> to develop coordinated</w:t>
      </w:r>
      <w:r w:rsidR="00DF2F9A">
        <w:t>,</w:t>
      </w:r>
      <w:r w:rsidR="007E602D">
        <w:t xml:space="preserve"> spatialized retention plan</w:t>
      </w:r>
      <w:r w:rsidR="00DF2F9A">
        <w:t>s</w:t>
      </w:r>
      <w:r>
        <w:t xml:space="preserve">. </w:t>
      </w:r>
      <w:r w:rsidR="00FB0A7E">
        <w:t>Government will ensure that this planning</w:t>
      </w:r>
      <w:r w:rsidR="00AE50A6">
        <w:t xml:space="preserve"> occurs</w:t>
      </w:r>
      <w:r w:rsidR="009B238A">
        <w:t xml:space="preserve"> throug</w:t>
      </w:r>
      <w:r w:rsidR="00F92497">
        <w:t>h</w:t>
      </w:r>
      <w:r w:rsidR="00BE62E0">
        <w:t>:</w:t>
      </w:r>
      <w:r>
        <w:t xml:space="preserve"> </w:t>
      </w:r>
    </w:p>
    <w:p w14:paraId="08CC42BD" w14:textId="50A0B226" w:rsidR="006B0D40" w:rsidRDefault="00D032D0" w:rsidP="009E4F62">
      <w:pPr>
        <w:pStyle w:val="ListParagraph"/>
        <w:numPr>
          <w:ilvl w:val="1"/>
          <w:numId w:val="44"/>
        </w:numPr>
        <w:ind w:left="720"/>
        <w:jc w:val="both"/>
      </w:pPr>
      <w:r>
        <w:t>t</w:t>
      </w:r>
      <w:r w:rsidR="006B0D40">
        <w:t>he identification of</w:t>
      </w:r>
      <w:r w:rsidR="006B0D40" w:rsidRPr="006B0D40">
        <w:t xml:space="preserve"> </w:t>
      </w:r>
      <w:r w:rsidR="0012005A">
        <w:t xml:space="preserve">forested </w:t>
      </w:r>
      <w:r w:rsidR="006B0D40" w:rsidRPr="006B0D40">
        <w:t xml:space="preserve">areas that will be </w:t>
      </w:r>
      <w:r w:rsidR="009B238A">
        <w:t>deferr</w:t>
      </w:r>
      <w:r w:rsidR="009B238A" w:rsidRPr="006B0D40">
        <w:t xml:space="preserve">ed </w:t>
      </w:r>
      <w:r w:rsidR="006B0D40" w:rsidRPr="006B0D40">
        <w:t xml:space="preserve">from harvesting for a </w:t>
      </w:r>
      <w:r w:rsidR="006B0D40">
        <w:t>significant period of time</w:t>
      </w:r>
      <w:r w:rsidR="00E41584">
        <w:t xml:space="preserve"> (40 years at a minimum)</w:t>
      </w:r>
      <w:r w:rsidR="00B801E5">
        <w:t xml:space="preserve"> and</w:t>
      </w:r>
    </w:p>
    <w:p w14:paraId="5995F2DC" w14:textId="63A3D232" w:rsidR="00B801E5" w:rsidRDefault="00D032D0" w:rsidP="009E4F62">
      <w:pPr>
        <w:pStyle w:val="ListParagraph"/>
        <w:numPr>
          <w:ilvl w:val="1"/>
          <w:numId w:val="44"/>
        </w:numPr>
        <w:ind w:left="720"/>
        <w:jc w:val="both"/>
      </w:pPr>
      <w:r>
        <w:t>p</w:t>
      </w:r>
      <w:r w:rsidR="006B0D40" w:rsidRPr="006B0D40">
        <w:t>atch size objectives</w:t>
      </w:r>
      <w:r w:rsidR="0012005A">
        <w:t xml:space="preserve"> for reserves and </w:t>
      </w:r>
      <w:r w:rsidR="00F04C14">
        <w:t>amalgamated harvested openings</w:t>
      </w:r>
      <w:r w:rsidR="00B801E5">
        <w:t xml:space="preserve"> that:</w:t>
      </w:r>
    </w:p>
    <w:p w14:paraId="473ECDD6" w14:textId="113981B0" w:rsidR="00B801E5" w:rsidRDefault="006B0D40" w:rsidP="0087334D">
      <w:pPr>
        <w:pStyle w:val="ListParagraph"/>
        <w:numPr>
          <w:ilvl w:val="2"/>
          <w:numId w:val="44"/>
        </w:numPr>
        <w:jc w:val="both"/>
      </w:pPr>
      <w:r w:rsidRPr="006B0D40">
        <w:t xml:space="preserve"> are known</w:t>
      </w:r>
      <w:r w:rsidR="0012005A">
        <w:t>, implemented</w:t>
      </w:r>
      <w:r w:rsidRPr="006B0D40">
        <w:t xml:space="preserve"> and</w:t>
      </w:r>
      <w:r>
        <w:t xml:space="preserve"> </w:t>
      </w:r>
      <w:r w:rsidRPr="006B0D40">
        <w:t xml:space="preserve">respected by all operators </w:t>
      </w:r>
      <w:r w:rsidR="00851265">
        <w:t>logging</w:t>
      </w:r>
      <w:r w:rsidR="00851265" w:rsidRPr="006B0D40">
        <w:t xml:space="preserve"> </w:t>
      </w:r>
      <w:r w:rsidRPr="006B0D40">
        <w:t xml:space="preserve">in the management unit, </w:t>
      </w:r>
    </w:p>
    <w:p w14:paraId="66887397" w14:textId="77777777" w:rsidR="00B801E5" w:rsidRDefault="00B801E5" w:rsidP="0087334D">
      <w:pPr>
        <w:pStyle w:val="ListParagraph"/>
        <w:numPr>
          <w:ilvl w:val="2"/>
          <w:numId w:val="44"/>
        </w:numPr>
        <w:jc w:val="both"/>
      </w:pPr>
      <w:r>
        <w:t>have</w:t>
      </w:r>
      <w:r w:rsidRPr="006B0D40">
        <w:t xml:space="preserve"> </w:t>
      </w:r>
      <w:r w:rsidR="00EB23D2" w:rsidRPr="00EB23D2">
        <w:t>support</w:t>
      </w:r>
      <w:r w:rsidR="00691420">
        <w:t xml:space="preserve"> for</w:t>
      </w:r>
      <w:r w:rsidR="00EB23D2" w:rsidRPr="00EB23D2">
        <w:t xml:space="preserve"> maintenance of desired landscape conditions over the long term</w:t>
      </w:r>
      <w:r w:rsidR="00D032D0">
        <w:t xml:space="preserve"> </w:t>
      </w:r>
      <w:r>
        <w:t xml:space="preserve">and </w:t>
      </w:r>
    </w:p>
    <w:p w14:paraId="24EA9242" w14:textId="7B46872F" w:rsidR="006B0D40" w:rsidRDefault="00B801E5" w:rsidP="0087334D">
      <w:pPr>
        <w:pStyle w:val="ListParagraph"/>
        <w:numPr>
          <w:ilvl w:val="2"/>
          <w:numId w:val="44"/>
        </w:numPr>
        <w:jc w:val="both"/>
      </w:pPr>
      <w:r>
        <w:t xml:space="preserve">include objectives for minimizing the extent and </w:t>
      </w:r>
      <w:r w:rsidR="007857AB">
        <w:t>adjacency</w:t>
      </w:r>
      <w:r>
        <w:t xml:space="preserve"> </w:t>
      </w:r>
      <w:r w:rsidR="007857AB">
        <w:t xml:space="preserve">of </w:t>
      </w:r>
      <w:r>
        <w:t>large or amalgamated openings.</w:t>
      </w:r>
    </w:p>
    <w:p w14:paraId="47CEB2D5" w14:textId="04FAA07C" w:rsidR="00ED14C7" w:rsidRDefault="004B6A63" w:rsidP="00984C51">
      <w:pPr>
        <w:pStyle w:val="ListParagraph"/>
        <w:numPr>
          <w:ilvl w:val="0"/>
          <w:numId w:val="44"/>
        </w:numPr>
        <w:jc w:val="both"/>
      </w:pPr>
      <w:r>
        <w:t xml:space="preserve">All proposals for salvage </w:t>
      </w:r>
      <w:r w:rsidR="001B0DBA">
        <w:t>logging</w:t>
      </w:r>
      <w:r>
        <w:t xml:space="preserve"> should demonstrate how access will be managed. In general, </w:t>
      </w:r>
      <w:r w:rsidR="00EB23D2" w:rsidRPr="00EB23D2">
        <w:t xml:space="preserve">access infrastructure built to enable salvage </w:t>
      </w:r>
      <w:r w:rsidR="001B0DBA">
        <w:t>logging</w:t>
      </w:r>
      <w:r w:rsidR="00EB23D2" w:rsidRPr="00EB23D2">
        <w:t xml:space="preserve"> should be removed or rehabilitated</w:t>
      </w:r>
      <w:r w:rsidR="009B238A">
        <w:t xml:space="preserve"> as soon as possible, taking into consideration reforestation planning logistics</w:t>
      </w:r>
      <w:r>
        <w:t>.</w:t>
      </w:r>
    </w:p>
    <w:p w14:paraId="44A98401" w14:textId="66EFF0CA" w:rsidR="004B6A63" w:rsidRDefault="004B6A63" w:rsidP="00E447DF">
      <w:pPr>
        <w:pStyle w:val="ListParagraph"/>
        <w:numPr>
          <w:ilvl w:val="0"/>
          <w:numId w:val="44"/>
        </w:numPr>
        <w:jc w:val="both"/>
      </w:pPr>
      <w:r>
        <w:t xml:space="preserve">Access created during wildfire </w:t>
      </w:r>
      <w:r w:rsidR="009C1BAF">
        <w:t>response</w:t>
      </w:r>
      <w:r>
        <w:t xml:space="preserve"> activities, including fire guards and associated stream crossings, </w:t>
      </w:r>
      <w:r w:rsidR="009C1BAF">
        <w:t xml:space="preserve">must </w:t>
      </w:r>
      <w:r>
        <w:t xml:space="preserve">be decommissioned and rehabilitated as part of any salvage </w:t>
      </w:r>
      <w:r w:rsidR="001B0DBA">
        <w:t>logging</w:t>
      </w:r>
      <w:r>
        <w:t xml:space="preserve"> operations conducted</w:t>
      </w:r>
      <w:r w:rsidR="00F5284C">
        <w:t xml:space="preserve"> in an area</w:t>
      </w:r>
      <w:r>
        <w:t>.</w:t>
      </w:r>
      <w:r>
        <w:rPr>
          <w:rStyle w:val="FootnoteReference"/>
        </w:rPr>
        <w:footnoteReference w:id="3"/>
      </w:r>
    </w:p>
    <w:p w14:paraId="2A0A1E07" w14:textId="7E7725B2" w:rsidR="004634AE" w:rsidRPr="0094157D" w:rsidRDefault="004634AE" w:rsidP="00E447DF">
      <w:pPr>
        <w:pStyle w:val="ListParagraph"/>
        <w:numPr>
          <w:ilvl w:val="0"/>
          <w:numId w:val="44"/>
        </w:numPr>
        <w:jc w:val="both"/>
        <w:rPr>
          <w:rFonts w:cstheme="minorHAnsi"/>
          <w:lang w:val="en"/>
        </w:rPr>
      </w:pPr>
      <w:r>
        <w:t xml:space="preserve">Planning should begin with maps </w:t>
      </w:r>
      <w:r w:rsidR="00F92497">
        <w:t>delineating</w:t>
      </w:r>
      <w:r>
        <w:t xml:space="preserve"> burn severity. Planners should interpret burn severity mapping in the context of the whole watershed</w:t>
      </w:r>
      <w:r w:rsidR="00C72054">
        <w:t xml:space="preserve"> or Landscape Unit</w:t>
      </w:r>
      <w:r w:rsidR="00F5284C">
        <w:t>,</w:t>
      </w:r>
      <w:r>
        <w:t xml:space="preserve"> with consideration given to potential </w:t>
      </w:r>
      <w:r w:rsidR="009B238A">
        <w:t>impacts</w:t>
      </w:r>
      <w:r>
        <w:t xml:space="preserve"> arising from the cumulative impacts of pre-existing </w:t>
      </w:r>
      <w:r w:rsidR="00851265">
        <w:t>logging</w:t>
      </w:r>
      <w:r>
        <w:t xml:space="preserve">, </w:t>
      </w:r>
      <w:r w:rsidR="00AD2298">
        <w:t xml:space="preserve">forest health </w:t>
      </w:r>
      <w:r>
        <w:lastRenderedPageBreak/>
        <w:t>disturbance</w:t>
      </w:r>
      <w:r w:rsidR="00AD2298">
        <w:t>s</w:t>
      </w:r>
      <w:r>
        <w:t xml:space="preserve">, and other resource development, in addition to the effects of the 2017 </w:t>
      </w:r>
      <w:r w:rsidR="00AD2298">
        <w:t>wildfires</w:t>
      </w:r>
      <w:r>
        <w:t xml:space="preserve"> and potential salvage </w:t>
      </w:r>
      <w:r w:rsidR="00F5284C">
        <w:t>logging</w:t>
      </w:r>
      <w:r>
        <w:t>.</w:t>
      </w:r>
    </w:p>
    <w:p w14:paraId="612EAE2F" w14:textId="17461D96" w:rsidR="004634AE" w:rsidRDefault="004634AE" w:rsidP="00E447DF">
      <w:pPr>
        <w:pStyle w:val="ListParagraph"/>
        <w:numPr>
          <w:ilvl w:val="0"/>
          <w:numId w:val="44"/>
        </w:numPr>
        <w:ind w:hanging="384"/>
        <w:jc w:val="both"/>
        <w:rPr>
          <w:rFonts w:cstheme="minorHAnsi"/>
          <w:lang w:val="en"/>
        </w:rPr>
      </w:pPr>
      <w:r>
        <w:rPr>
          <w:rFonts w:cstheme="minorHAnsi"/>
          <w:lang w:val="en"/>
        </w:rPr>
        <w:t>W</w:t>
      </w:r>
      <w:r w:rsidRPr="00CD5C9A">
        <w:rPr>
          <w:rFonts w:cstheme="minorHAnsi"/>
          <w:lang w:val="en"/>
        </w:rPr>
        <w:t>atershed</w:t>
      </w:r>
      <w:r w:rsidR="00691420">
        <w:rPr>
          <w:rFonts w:cstheme="minorHAnsi"/>
          <w:lang w:val="en"/>
        </w:rPr>
        <w:t>-</w:t>
      </w:r>
      <w:r w:rsidRPr="00CD5C9A">
        <w:rPr>
          <w:rFonts w:cstheme="minorHAnsi"/>
          <w:lang w:val="en"/>
        </w:rPr>
        <w:t>scale assessments that can be used to rate vulnerability to salvage logging should guide salvage planning</w:t>
      </w:r>
      <w:r>
        <w:rPr>
          <w:rFonts w:cstheme="minorHAnsi"/>
          <w:lang w:val="en"/>
        </w:rPr>
        <w:t xml:space="preserve"> where they are available</w:t>
      </w:r>
      <w:r w:rsidRPr="00CD5C9A">
        <w:rPr>
          <w:rFonts w:cstheme="minorHAnsi"/>
          <w:lang w:val="en"/>
        </w:rPr>
        <w:t>. Where detailed assessments are not available, planners should rely on the results of an assessment comparable to the “level 1” analysis outlined in the “Interior Watershed Assessment Procedure Guidebook”</w:t>
      </w:r>
      <w:r>
        <w:rPr>
          <w:rStyle w:val="FootnoteReference"/>
          <w:rFonts w:cstheme="minorHAnsi"/>
          <w:lang w:val="en"/>
        </w:rPr>
        <w:footnoteReference w:id="4"/>
      </w:r>
      <w:r w:rsidRPr="00CD5C9A">
        <w:rPr>
          <w:rFonts w:cstheme="minorHAnsi"/>
          <w:lang w:val="en"/>
        </w:rPr>
        <w:t xml:space="preserve"> to </w:t>
      </w:r>
      <w:r>
        <w:rPr>
          <w:rFonts w:cstheme="minorHAnsi"/>
          <w:lang w:val="en"/>
        </w:rPr>
        <w:t xml:space="preserve">identify areas where there is little or no concern about increased peak flow or decreased water quality resulting from salvage </w:t>
      </w:r>
      <w:r w:rsidR="001B0DBA">
        <w:rPr>
          <w:rFonts w:cstheme="minorHAnsi"/>
          <w:lang w:val="en"/>
        </w:rPr>
        <w:t>logging</w:t>
      </w:r>
      <w:r>
        <w:rPr>
          <w:rFonts w:cstheme="minorHAnsi"/>
          <w:lang w:val="en"/>
        </w:rPr>
        <w:t xml:space="preserve">; i.e., areas where salvage </w:t>
      </w:r>
      <w:r w:rsidR="001B0DBA">
        <w:rPr>
          <w:rFonts w:cstheme="minorHAnsi"/>
          <w:lang w:val="en"/>
        </w:rPr>
        <w:t>logging</w:t>
      </w:r>
      <w:r>
        <w:rPr>
          <w:rFonts w:cstheme="minorHAnsi"/>
          <w:lang w:val="en"/>
        </w:rPr>
        <w:t xml:space="preserve"> can be conducted without unintended consequences to water resources</w:t>
      </w:r>
      <w:r w:rsidRPr="00CD5C9A">
        <w:rPr>
          <w:rFonts w:cstheme="minorHAnsi"/>
          <w:lang w:val="en"/>
        </w:rPr>
        <w:t>.</w:t>
      </w:r>
    </w:p>
    <w:p w14:paraId="246C47FC" w14:textId="69126071" w:rsidR="00741092" w:rsidRDefault="00741092" w:rsidP="00E447DF">
      <w:pPr>
        <w:pStyle w:val="ListParagraph"/>
        <w:numPr>
          <w:ilvl w:val="0"/>
          <w:numId w:val="44"/>
        </w:numPr>
        <w:ind w:hanging="384"/>
        <w:jc w:val="both"/>
        <w:rPr>
          <w:rFonts w:cstheme="minorHAnsi"/>
          <w:lang w:val="en"/>
        </w:rPr>
      </w:pPr>
      <w:r w:rsidRPr="004579CF">
        <w:t xml:space="preserve">Consider </w:t>
      </w:r>
      <w:r>
        <w:t xml:space="preserve">key aspects of </w:t>
      </w:r>
      <w:r w:rsidRPr="004579CF">
        <w:t>spatia</w:t>
      </w:r>
      <w:r>
        <w:t>l planning for fuel breaks, i.e., areas that are desirable to manage as non-forested or as low density forest in the long term (e.g., areas that are highly likely to convert to grassland or open forest, areas around communities).</w:t>
      </w:r>
    </w:p>
    <w:p w14:paraId="6B4D3691" w14:textId="764E4250" w:rsidR="00737A4C" w:rsidRPr="0089496A" w:rsidRDefault="006B0D40" w:rsidP="0089496A">
      <w:pPr>
        <w:pStyle w:val="ListParagraph"/>
        <w:numPr>
          <w:ilvl w:val="0"/>
          <w:numId w:val="44"/>
        </w:numPr>
        <w:ind w:hanging="384"/>
        <w:jc w:val="both"/>
        <w:rPr>
          <w:rFonts w:cstheme="minorHAnsi"/>
          <w:color w:val="2A2A2A"/>
          <w:lang w:val="en"/>
        </w:rPr>
      </w:pPr>
      <w:r w:rsidRPr="006B0D40">
        <w:t xml:space="preserve">Plans </w:t>
      </w:r>
      <w:r w:rsidR="00EB23D2">
        <w:t xml:space="preserve">for landscape-level retention </w:t>
      </w:r>
      <w:r w:rsidRPr="006B0D40">
        <w:t>should be spatially-explicit</w:t>
      </w:r>
      <w:r w:rsidR="00E90C69">
        <w:t xml:space="preserve"> and</w:t>
      </w:r>
      <w:r w:rsidRPr="006B0D40">
        <w:t xml:space="preserve"> consider the full range of</w:t>
      </w:r>
      <w:r>
        <w:t xml:space="preserve"> </w:t>
      </w:r>
      <w:r w:rsidR="00741092">
        <w:t>ecological attributes that will support the values of interest</w:t>
      </w:r>
      <w:r w:rsidR="00741092" w:rsidRPr="006B0D40">
        <w:t xml:space="preserve"> </w:t>
      </w:r>
      <w:r w:rsidR="00741092">
        <w:t>for</w:t>
      </w:r>
      <w:r w:rsidR="00741092" w:rsidRPr="006B0D40">
        <w:t xml:space="preserve"> </w:t>
      </w:r>
      <w:r w:rsidRPr="006B0D40">
        <w:t>conservation.</w:t>
      </w:r>
      <w:r w:rsidR="007E602D">
        <w:t xml:space="preserve"> </w:t>
      </w:r>
      <w:r w:rsidR="00DA1837">
        <w:t>Considerations should include</w:t>
      </w:r>
      <w:r w:rsidR="007E602D">
        <w:t xml:space="preserve"> </w:t>
      </w:r>
      <w:r w:rsidR="00E90C69">
        <w:t>(</w:t>
      </w:r>
      <w:r w:rsidR="007E602D">
        <w:t>but not be limited to</w:t>
      </w:r>
      <w:r w:rsidR="00E90C69">
        <w:t>)</w:t>
      </w:r>
      <w:r w:rsidR="00DA1837">
        <w:t xml:space="preserve"> maintainin</w:t>
      </w:r>
      <w:r w:rsidR="00AA5305">
        <w:t>g landscape</w:t>
      </w:r>
      <w:r w:rsidR="00EB23D2">
        <w:t>-</w:t>
      </w:r>
      <w:r w:rsidR="00AA5305">
        <w:t>scale heterogeneity</w:t>
      </w:r>
      <w:r w:rsidR="001565EE">
        <w:t xml:space="preserve">, interior forest habitat and </w:t>
      </w:r>
      <w:r w:rsidR="00741092">
        <w:t xml:space="preserve">landscape-level </w:t>
      </w:r>
      <w:r w:rsidR="00AA5305" w:rsidRPr="007E602D">
        <w:rPr>
          <w:rFonts w:cstheme="minorHAnsi"/>
          <w:color w:val="2A2A2A"/>
          <w:lang w:val="en"/>
        </w:rPr>
        <w:t>connectivity</w:t>
      </w:r>
      <w:r w:rsidR="00AA5305">
        <w:t xml:space="preserve"> of wildlife habita</w:t>
      </w:r>
      <w:r w:rsidR="001565EE">
        <w:t>t.</w:t>
      </w:r>
    </w:p>
    <w:p w14:paraId="54830CEA" w14:textId="4269C85E" w:rsidR="00AA5305" w:rsidRPr="007E602D" w:rsidRDefault="00DF2F9A" w:rsidP="00E447DF">
      <w:pPr>
        <w:pStyle w:val="ListParagraph"/>
        <w:numPr>
          <w:ilvl w:val="0"/>
          <w:numId w:val="44"/>
        </w:numPr>
        <w:ind w:hanging="384"/>
        <w:jc w:val="both"/>
        <w:rPr>
          <w:rFonts w:cstheme="minorHAnsi"/>
          <w:color w:val="2A2A2A"/>
          <w:lang w:val="en"/>
        </w:rPr>
      </w:pPr>
      <w:r>
        <w:t>Plan for the distribution of biological legacies across</w:t>
      </w:r>
      <w:r w:rsidR="00DC7811">
        <w:t xml:space="preserve"> stands and</w:t>
      </w:r>
      <w:r>
        <w:t xml:space="preserve"> landscapes. P</w:t>
      </w:r>
      <w:r w:rsidRPr="00A43286">
        <w:t xml:space="preserve">artially damaged stands </w:t>
      </w:r>
      <w:r>
        <w:t xml:space="preserve">can provide </w:t>
      </w:r>
      <w:r w:rsidR="00893C82">
        <w:t xml:space="preserve">unique and complex </w:t>
      </w:r>
      <w:r>
        <w:t>habitat</w:t>
      </w:r>
      <w:r w:rsidR="00893C82">
        <w:t>.</w:t>
      </w:r>
      <w:r>
        <w:t xml:space="preserve">  (i.e., increase the availab</w:t>
      </w:r>
      <w:r w:rsidR="00893C82">
        <w:t>ility and variety</w:t>
      </w:r>
      <w:r w:rsidR="00F92497">
        <w:t xml:space="preserve"> </w:t>
      </w:r>
      <w:r w:rsidR="00893C82">
        <w:t>of</w:t>
      </w:r>
      <w:r>
        <w:t xml:space="preserve"> habitat niches)</w:t>
      </w:r>
      <w:r w:rsidR="00E90C69">
        <w:t>. T</w:t>
      </w:r>
      <w:r>
        <w:t xml:space="preserve">hese stands </w:t>
      </w:r>
      <w:r w:rsidR="00AD2298">
        <w:t xml:space="preserve">may </w:t>
      </w:r>
      <w:r>
        <w:t xml:space="preserve">contain elements of resilience such as sources of plant propagules and soil flora and fauna, that will assist in a more </w:t>
      </w:r>
      <w:r w:rsidR="00AD2298">
        <w:t>rapid</w:t>
      </w:r>
      <w:r w:rsidR="00AD2298" w:rsidRPr="00A43286">
        <w:t xml:space="preserve"> </w:t>
      </w:r>
      <w:r w:rsidRPr="00A43286">
        <w:t>recover</w:t>
      </w:r>
      <w:r>
        <w:t>y</w:t>
      </w:r>
      <w:r w:rsidRPr="00A43286">
        <w:t xml:space="preserve"> </w:t>
      </w:r>
      <w:r>
        <w:t>of the stand and surrounding landscapes than</w:t>
      </w:r>
      <w:r w:rsidR="00E90C69">
        <w:t xml:space="preserve"> what would occur</w:t>
      </w:r>
      <w:r>
        <w:t xml:space="preserve"> if the</w:t>
      </w:r>
      <w:r w:rsidR="00E90C69">
        <w:t>se</w:t>
      </w:r>
      <w:r>
        <w:t xml:space="preserve"> stands were salvage </w:t>
      </w:r>
      <w:r w:rsidR="00916126">
        <w:t>logged</w:t>
      </w:r>
      <w:r>
        <w:t xml:space="preserve">. </w:t>
      </w:r>
      <w:r w:rsidR="00B60F15">
        <w:rPr>
          <w:rFonts w:cstheme="minorHAnsi"/>
          <w:color w:val="2A2A2A"/>
          <w:lang w:val="en"/>
        </w:rPr>
        <w:t>Retention</w:t>
      </w:r>
      <w:r w:rsidR="00893C82">
        <w:rPr>
          <w:rFonts w:cstheme="minorHAnsi"/>
          <w:color w:val="2A2A2A"/>
          <w:lang w:val="en"/>
        </w:rPr>
        <w:t xml:space="preserve"> objectives</w:t>
      </w:r>
      <w:r w:rsidR="00B60F15">
        <w:rPr>
          <w:rFonts w:cstheme="minorHAnsi"/>
          <w:color w:val="2A2A2A"/>
          <w:lang w:val="en"/>
        </w:rPr>
        <w:t xml:space="preserve"> should include</w:t>
      </w:r>
      <w:r w:rsidR="00AA5305" w:rsidRPr="009F1A70">
        <w:rPr>
          <w:rFonts w:cstheme="minorHAnsi"/>
          <w:color w:val="2A2A2A"/>
          <w:lang w:val="en"/>
        </w:rPr>
        <w:t>:</w:t>
      </w:r>
      <w:r w:rsidR="00AA5305" w:rsidRPr="009F1A70">
        <w:rPr>
          <w:rStyle w:val="FootnoteReference"/>
          <w:rFonts w:cstheme="minorHAnsi"/>
          <w:color w:val="2A2A2A"/>
          <w:lang w:val="en"/>
        </w:rPr>
        <w:t xml:space="preserve"> </w:t>
      </w:r>
      <w:r w:rsidR="00AA5305">
        <w:rPr>
          <w:rStyle w:val="FootnoteReference"/>
          <w:rFonts w:cstheme="minorHAnsi"/>
          <w:color w:val="2A2A2A"/>
          <w:lang w:val="en"/>
        </w:rPr>
        <w:footnoteReference w:id="5"/>
      </w:r>
    </w:p>
    <w:p w14:paraId="20978029" w14:textId="51FE5FC5" w:rsidR="00D546F5" w:rsidRPr="00D546F5" w:rsidRDefault="00D546F5" w:rsidP="00433F5E">
      <w:pPr>
        <w:pStyle w:val="ListParagraph"/>
        <w:numPr>
          <w:ilvl w:val="1"/>
          <w:numId w:val="44"/>
        </w:numPr>
        <w:ind w:left="720"/>
        <w:rPr>
          <w:bCs/>
          <w:color w:val="212121"/>
          <w:lang w:eastAsia="en-CA"/>
        </w:rPr>
      </w:pPr>
      <w:r>
        <w:rPr>
          <w:bCs/>
          <w:color w:val="212121"/>
          <w:lang w:eastAsia="en-CA"/>
        </w:rPr>
        <w:t>s</w:t>
      </w:r>
      <w:r w:rsidRPr="00D546F5">
        <w:rPr>
          <w:bCs/>
          <w:color w:val="212121"/>
          <w:lang w:eastAsia="en-CA"/>
        </w:rPr>
        <w:t>tands and patches of live trees;</w:t>
      </w:r>
    </w:p>
    <w:p w14:paraId="42935083" w14:textId="73953811" w:rsidR="00AA5305" w:rsidRPr="00941282" w:rsidRDefault="00AA5305" w:rsidP="00433F5E">
      <w:pPr>
        <w:pStyle w:val="ListParagraph"/>
        <w:numPr>
          <w:ilvl w:val="1"/>
          <w:numId w:val="44"/>
        </w:numPr>
        <w:spacing w:after="200" w:line="276" w:lineRule="auto"/>
        <w:ind w:left="720"/>
        <w:jc w:val="both"/>
        <w:rPr>
          <w:rFonts w:cstheme="minorHAnsi"/>
          <w:color w:val="2A2A2A"/>
          <w:lang w:val="en"/>
        </w:rPr>
      </w:pPr>
      <w:r w:rsidRPr="00941282">
        <w:rPr>
          <w:bCs/>
          <w:color w:val="212121"/>
          <w:lang w:eastAsia="en-CA"/>
        </w:rPr>
        <w:t>a mosaic of inta</w:t>
      </w:r>
      <w:r>
        <w:rPr>
          <w:bCs/>
          <w:color w:val="212121"/>
          <w:lang w:eastAsia="en-CA"/>
        </w:rPr>
        <w:t>ct unburn</w:t>
      </w:r>
      <w:r w:rsidR="008709C1">
        <w:rPr>
          <w:bCs/>
          <w:color w:val="212121"/>
          <w:lang w:eastAsia="en-CA"/>
        </w:rPr>
        <w:t>t</w:t>
      </w:r>
      <w:r>
        <w:rPr>
          <w:bCs/>
          <w:color w:val="212121"/>
          <w:lang w:eastAsia="en-CA"/>
        </w:rPr>
        <w:t xml:space="preserve"> and burn</w:t>
      </w:r>
      <w:r w:rsidR="008709C1">
        <w:rPr>
          <w:bCs/>
          <w:color w:val="212121"/>
          <w:lang w:eastAsia="en-CA"/>
        </w:rPr>
        <w:t>t</w:t>
      </w:r>
      <w:r>
        <w:rPr>
          <w:bCs/>
          <w:color w:val="212121"/>
          <w:lang w:eastAsia="en-CA"/>
        </w:rPr>
        <w:t xml:space="preserve"> patches;</w:t>
      </w:r>
    </w:p>
    <w:p w14:paraId="288493D3" w14:textId="77777777" w:rsidR="00AA5305" w:rsidRPr="00941282" w:rsidRDefault="00AA5305" w:rsidP="00433F5E">
      <w:pPr>
        <w:pStyle w:val="ListParagraph"/>
        <w:numPr>
          <w:ilvl w:val="1"/>
          <w:numId w:val="44"/>
        </w:numPr>
        <w:spacing w:after="200" w:line="276" w:lineRule="auto"/>
        <w:ind w:left="720"/>
        <w:jc w:val="both"/>
        <w:rPr>
          <w:rFonts w:cstheme="minorHAnsi"/>
          <w:color w:val="2A2A2A"/>
          <w:lang w:val="en"/>
        </w:rPr>
      </w:pPr>
      <w:r>
        <w:rPr>
          <w:bCs/>
          <w:color w:val="212121"/>
          <w:lang w:eastAsia="en-CA"/>
        </w:rPr>
        <w:t>special habitats and habitat features, particularly if they are unburned;</w:t>
      </w:r>
    </w:p>
    <w:p w14:paraId="0127BE27" w14:textId="3352E954" w:rsidR="00AA5305" w:rsidRPr="00941282" w:rsidRDefault="00741092" w:rsidP="00433F5E">
      <w:pPr>
        <w:pStyle w:val="ListParagraph"/>
        <w:numPr>
          <w:ilvl w:val="1"/>
          <w:numId w:val="44"/>
        </w:numPr>
        <w:spacing w:after="200" w:line="276" w:lineRule="auto"/>
        <w:ind w:left="720"/>
        <w:jc w:val="both"/>
        <w:rPr>
          <w:rFonts w:cstheme="minorHAnsi"/>
          <w:color w:val="2A2A2A"/>
          <w:lang w:val="en"/>
        </w:rPr>
      </w:pPr>
      <w:r>
        <w:rPr>
          <w:bCs/>
          <w:color w:val="212121"/>
          <w:lang w:eastAsia="en-CA"/>
        </w:rPr>
        <w:t>the</w:t>
      </w:r>
      <w:r w:rsidR="00AA5305" w:rsidRPr="00941282">
        <w:rPr>
          <w:bCs/>
          <w:color w:val="212121"/>
          <w:lang w:eastAsia="en-CA"/>
        </w:rPr>
        <w:t xml:space="preserve"> range of burn</w:t>
      </w:r>
      <w:r w:rsidR="008709C1">
        <w:rPr>
          <w:bCs/>
          <w:color w:val="212121"/>
          <w:lang w:eastAsia="en-CA"/>
        </w:rPr>
        <w:t>t</w:t>
      </w:r>
      <w:r w:rsidR="00AA5305" w:rsidRPr="00941282">
        <w:rPr>
          <w:bCs/>
          <w:color w:val="212121"/>
          <w:lang w:eastAsia="en-CA"/>
        </w:rPr>
        <w:t xml:space="preserve"> areas in terms of patch size, burn severity and snag den</w:t>
      </w:r>
      <w:r w:rsidR="00AA5305">
        <w:rPr>
          <w:bCs/>
          <w:color w:val="212121"/>
          <w:lang w:eastAsia="en-CA"/>
        </w:rPr>
        <w:t>sity</w:t>
      </w:r>
      <w:r w:rsidR="00EF0B95">
        <w:rPr>
          <w:bCs/>
          <w:color w:val="212121"/>
          <w:lang w:eastAsia="en-CA"/>
        </w:rPr>
        <w:t>;</w:t>
      </w:r>
    </w:p>
    <w:p w14:paraId="3F6AB054" w14:textId="6E570258" w:rsidR="00AA5305" w:rsidRPr="0015056D" w:rsidRDefault="00E90C69" w:rsidP="00433F5E">
      <w:pPr>
        <w:pStyle w:val="ListParagraph"/>
        <w:numPr>
          <w:ilvl w:val="1"/>
          <w:numId w:val="44"/>
        </w:numPr>
        <w:spacing w:after="200" w:line="276" w:lineRule="auto"/>
        <w:ind w:left="720"/>
        <w:jc w:val="both"/>
      </w:pPr>
      <w:r>
        <w:rPr>
          <w:bCs/>
          <w:color w:val="212121"/>
          <w:lang w:eastAsia="en-CA"/>
        </w:rPr>
        <w:t xml:space="preserve">biological </w:t>
      </w:r>
      <w:r w:rsidR="00AA5305" w:rsidRPr="00941282">
        <w:rPr>
          <w:bCs/>
          <w:color w:val="212121"/>
          <w:lang w:eastAsia="en-CA"/>
        </w:rPr>
        <w:t xml:space="preserve">legacies such as </w:t>
      </w:r>
      <w:r w:rsidR="00AA5305">
        <w:rPr>
          <w:bCs/>
          <w:color w:val="212121"/>
          <w:lang w:eastAsia="en-CA"/>
        </w:rPr>
        <w:t>large veteran</w:t>
      </w:r>
      <w:r w:rsidR="00AA5305" w:rsidRPr="00941282">
        <w:rPr>
          <w:bCs/>
          <w:color w:val="212121"/>
          <w:lang w:eastAsia="en-CA"/>
        </w:rPr>
        <w:t xml:space="preserve"> trees, </w:t>
      </w:r>
      <w:r w:rsidR="00AA5305">
        <w:rPr>
          <w:bCs/>
          <w:color w:val="212121"/>
          <w:lang w:eastAsia="en-CA"/>
        </w:rPr>
        <w:t xml:space="preserve">large </w:t>
      </w:r>
      <w:r w:rsidR="00AA5305" w:rsidRPr="00941282">
        <w:rPr>
          <w:bCs/>
          <w:color w:val="212121"/>
          <w:lang w:eastAsia="en-CA"/>
        </w:rPr>
        <w:t xml:space="preserve">snags and </w:t>
      </w:r>
      <w:r w:rsidR="00AA5305">
        <w:rPr>
          <w:bCs/>
          <w:color w:val="212121"/>
          <w:lang w:eastAsia="en-CA"/>
        </w:rPr>
        <w:t xml:space="preserve">large </w:t>
      </w:r>
      <w:r w:rsidR="00AA5305" w:rsidRPr="00941282">
        <w:rPr>
          <w:bCs/>
          <w:color w:val="212121"/>
          <w:lang w:eastAsia="en-CA"/>
        </w:rPr>
        <w:t>coarse woody debris</w:t>
      </w:r>
      <w:r w:rsidR="00EF0B95">
        <w:rPr>
          <w:bCs/>
          <w:color w:val="212121"/>
          <w:lang w:eastAsia="en-CA"/>
        </w:rPr>
        <w:t xml:space="preserve"> and</w:t>
      </w:r>
    </w:p>
    <w:p w14:paraId="096C3CC5" w14:textId="050E419A" w:rsidR="00893C82" w:rsidRPr="007610F7" w:rsidRDefault="00D40BD1" w:rsidP="00433F5E">
      <w:pPr>
        <w:pStyle w:val="ListParagraph"/>
        <w:numPr>
          <w:ilvl w:val="1"/>
          <w:numId w:val="44"/>
        </w:numPr>
        <w:spacing w:after="200" w:line="276" w:lineRule="auto"/>
        <w:ind w:left="720"/>
        <w:jc w:val="both"/>
      </w:pPr>
      <w:proofErr w:type="gramStart"/>
      <w:r>
        <w:rPr>
          <w:bCs/>
          <w:color w:val="212121"/>
          <w:lang w:eastAsia="en-CA"/>
        </w:rPr>
        <w:t>landscape-level</w:t>
      </w:r>
      <w:proofErr w:type="gramEnd"/>
      <w:r>
        <w:rPr>
          <w:bCs/>
          <w:color w:val="212121"/>
          <w:lang w:eastAsia="en-CA"/>
        </w:rPr>
        <w:t xml:space="preserve"> </w:t>
      </w:r>
      <w:r w:rsidR="00F92497">
        <w:rPr>
          <w:bCs/>
          <w:color w:val="212121"/>
          <w:lang w:eastAsia="en-CA"/>
        </w:rPr>
        <w:t>c</w:t>
      </w:r>
      <w:r w:rsidR="00893C82">
        <w:rPr>
          <w:bCs/>
          <w:color w:val="212121"/>
          <w:lang w:eastAsia="en-CA"/>
        </w:rPr>
        <w:t>onnectivity of residual trees and wildlife tree patches</w:t>
      </w:r>
      <w:r w:rsidR="00EF0B95">
        <w:rPr>
          <w:bCs/>
          <w:color w:val="212121"/>
          <w:lang w:eastAsia="en-CA"/>
        </w:rPr>
        <w:t>.</w:t>
      </w:r>
    </w:p>
    <w:p w14:paraId="312ABA6C" w14:textId="4204B299" w:rsidR="00D546F5" w:rsidRPr="007610F7" w:rsidRDefault="00D546F5" w:rsidP="007610F7">
      <w:pPr>
        <w:pStyle w:val="ListParagraph"/>
        <w:numPr>
          <w:ilvl w:val="0"/>
          <w:numId w:val="44"/>
        </w:numPr>
        <w:ind w:left="426"/>
        <w:jc w:val="both"/>
        <w:rPr>
          <w:rFonts w:cstheme="minorHAnsi"/>
          <w:color w:val="2A2A2A"/>
          <w:lang w:val="en"/>
        </w:rPr>
      </w:pPr>
      <w:r>
        <w:t>Live trees must be left on the landscape, wherever possible, even if they are within the THLB.</w:t>
      </w:r>
    </w:p>
    <w:p w14:paraId="62AF65D1" w14:textId="2AF81910" w:rsidR="00DA1837" w:rsidRDefault="00BE62E0" w:rsidP="00543289">
      <w:pPr>
        <w:pStyle w:val="Heading2"/>
      </w:pPr>
      <w:bookmarkStart w:id="15" w:name="_Toc503934738"/>
      <w:r>
        <w:t>Guidance</w:t>
      </w:r>
      <w:r w:rsidR="00543289">
        <w:t xml:space="preserve"> for </w:t>
      </w:r>
      <w:r w:rsidR="00267EC5">
        <w:t>human safety &amp; infrastructure</w:t>
      </w:r>
      <w:bookmarkEnd w:id="15"/>
    </w:p>
    <w:p w14:paraId="73CEE15A" w14:textId="0103F9D9" w:rsidR="00DA1837" w:rsidRDefault="00DA1837" w:rsidP="006B0D40">
      <w:pPr>
        <w:pStyle w:val="ListParagraph"/>
        <w:numPr>
          <w:ilvl w:val="0"/>
          <w:numId w:val="44"/>
        </w:numPr>
        <w:ind w:left="426"/>
        <w:jc w:val="both"/>
      </w:pPr>
      <w:r>
        <w:t xml:space="preserve">All areas affected by the </w:t>
      </w:r>
      <w:r w:rsidR="00AD2298">
        <w:t>wildfires</w:t>
      </w:r>
      <w:r>
        <w:t xml:space="preserve"> should be screened </w:t>
      </w:r>
      <w:r w:rsidR="00691420">
        <w:t>to determine if</w:t>
      </w:r>
      <w:r>
        <w:t xml:space="preserve"> a “Post-wildfire Natural Hazards Risk Analysis”</w:t>
      </w:r>
      <w:r w:rsidR="00691420">
        <w:t xml:space="preserve"> is required</w:t>
      </w:r>
      <w:r>
        <w:t>.</w:t>
      </w:r>
      <w:r w:rsidR="003830ED">
        <w:rPr>
          <w:rStyle w:val="FootnoteReference"/>
        </w:rPr>
        <w:footnoteReference w:id="6"/>
      </w:r>
      <w:r w:rsidR="003830ED">
        <w:t xml:space="preserve"> </w:t>
      </w:r>
      <w:r>
        <w:t>Criteria are</w:t>
      </w:r>
      <w:r w:rsidR="007E7702">
        <w:t>:</w:t>
      </w:r>
      <w:r>
        <w:t xml:space="preserve"> </w:t>
      </w:r>
      <w:r w:rsidR="00AD2298">
        <w:t>wildfires</w:t>
      </w:r>
      <w:r>
        <w:t xml:space="preserve"> that are larger than approximately 50 ha; have burned with moderate or high intensity; are located above or near populated areas or transportation corridors; or are within community watersheds. </w:t>
      </w:r>
    </w:p>
    <w:p w14:paraId="7DE1F603" w14:textId="0ECE1582" w:rsidR="00DA1837" w:rsidRDefault="00DA1837" w:rsidP="00433F5E">
      <w:pPr>
        <w:pStyle w:val="ListParagraph"/>
        <w:numPr>
          <w:ilvl w:val="1"/>
          <w:numId w:val="44"/>
        </w:numPr>
        <w:ind w:left="810"/>
        <w:jc w:val="both"/>
      </w:pPr>
      <w:r>
        <w:t xml:space="preserve">“Salvage </w:t>
      </w:r>
      <w:r w:rsidR="00851265">
        <w:t>[</w:t>
      </w:r>
      <w:r>
        <w:t>logging</w:t>
      </w:r>
      <w:r w:rsidR="00851265">
        <w:t>]</w:t>
      </w:r>
      <w:r>
        <w:t xml:space="preserve"> should not proceed in the high or moderate hazard watersheds above elements at risk unless a further detailed study indicates that such </w:t>
      </w:r>
      <w:r w:rsidR="00851265">
        <w:t xml:space="preserve">[logging] </w:t>
      </w:r>
      <w:r>
        <w:t>would not exacerbate or concentrate increased surface water or overland flows.”</w:t>
      </w:r>
      <w:r w:rsidR="003830ED" w:rsidRPr="003830ED">
        <w:rPr>
          <w:rStyle w:val="FootnoteReference"/>
        </w:rPr>
        <w:t xml:space="preserve"> </w:t>
      </w:r>
      <w:r w:rsidR="003830ED" w:rsidRPr="003830ED">
        <w:rPr>
          <w:vertAlign w:val="superscript"/>
        </w:rPr>
        <w:t>v</w:t>
      </w:r>
    </w:p>
    <w:p w14:paraId="60A7D14A" w14:textId="10949C61" w:rsidR="00DA1837" w:rsidRPr="006B0D40" w:rsidRDefault="00DA1837" w:rsidP="006B0D40">
      <w:pPr>
        <w:pStyle w:val="ListParagraph"/>
        <w:numPr>
          <w:ilvl w:val="0"/>
          <w:numId w:val="44"/>
        </w:numPr>
        <w:ind w:left="426"/>
        <w:jc w:val="both"/>
      </w:pPr>
      <w:r w:rsidRPr="006B0D40">
        <w:lastRenderedPageBreak/>
        <w:t xml:space="preserve">No salvage </w:t>
      </w:r>
      <w:r w:rsidR="00916126">
        <w:t>logging</w:t>
      </w:r>
      <w:r w:rsidRPr="006B0D40">
        <w:t xml:space="preserve"> should occur in community watersheds or watersheds containing streams that drain directly into water licen</w:t>
      </w:r>
      <w:r w:rsidR="00691420">
        <w:t>c</w:t>
      </w:r>
      <w:r w:rsidRPr="006B0D40">
        <w:t xml:space="preserve">e intakes designated for drinking water, unless it can be demonstrated that the salvage </w:t>
      </w:r>
      <w:r w:rsidR="00916126">
        <w:t>logging</w:t>
      </w:r>
      <w:r w:rsidRPr="006B0D40">
        <w:t xml:space="preserve"> activities wi</w:t>
      </w:r>
      <w:r w:rsidR="001565EE">
        <w:t>ll</w:t>
      </w:r>
      <w:r w:rsidRPr="006B0D40">
        <w:t xml:space="preserve"> </w:t>
      </w:r>
      <w:r w:rsidR="00131AC3">
        <w:t>improve</w:t>
      </w:r>
      <w:r w:rsidRPr="006B0D40">
        <w:t xml:space="preserve"> water quality in the affected stream reaches</w:t>
      </w:r>
      <w:r w:rsidR="001565EE">
        <w:t>,</w:t>
      </w:r>
      <w:r w:rsidRPr="006B0D40">
        <w:t xml:space="preserve"> or that there will be a reduction in the risk of future degradation.</w:t>
      </w:r>
    </w:p>
    <w:p w14:paraId="2114FBFF" w14:textId="00BC6369" w:rsidR="00DA1837" w:rsidRPr="006B0D40" w:rsidRDefault="00B60F15" w:rsidP="006B0D40">
      <w:pPr>
        <w:pStyle w:val="ListParagraph"/>
        <w:numPr>
          <w:ilvl w:val="0"/>
          <w:numId w:val="44"/>
        </w:numPr>
        <w:ind w:left="426"/>
        <w:jc w:val="both"/>
      </w:pPr>
      <w:r>
        <w:t>S</w:t>
      </w:r>
      <w:r w:rsidR="00DA1837" w:rsidRPr="006B0D40">
        <w:t>alvaging burnt trees that may fall and damage or block roadways, powerlines, telephone lines, fence lines, rail lines and buildings</w:t>
      </w:r>
      <w:r w:rsidR="00916126">
        <w:t>,</w:t>
      </w:r>
      <w:r>
        <w:t xml:space="preserve"> is a priority</w:t>
      </w:r>
      <w:r w:rsidR="00DA1837" w:rsidRPr="006B0D40">
        <w:t xml:space="preserve">. </w:t>
      </w:r>
      <w:r w:rsidR="00FD7B8E" w:rsidRPr="00FD7B8E">
        <w:rPr>
          <w:lang w:val="en"/>
        </w:rPr>
        <w:t>Minimizing damage to water bodies and riparian areas should be a principal concern during these operations.</w:t>
      </w:r>
    </w:p>
    <w:p w14:paraId="3D141FA2" w14:textId="1D4B831E" w:rsidR="00DA1837" w:rsidRPr="00720BB9" w:rsidRDefault="00DA1837" w:rsidP="00720BB9">
      <w:pPr>
        <w:pStyle w:val="ListParagraph"/>
        <w:numPr>
          <w:ilvl w:val="0"/>
          <w:numId w:val="44"/>
        </w:numPr>
        <w:ind w:left="426"/>
        <w:jc w:val="both"/>
      </w:pPr>
      <w:r w:rsidRPr="006B0D40">
        <w:t xml:space="preserve">Salvage </w:t>
      </w:r>
      <w:r w:rsidR="00916126">
        <w:t>logging</w:t>
      </w:r>
      <w:r w:rsidRPr="00DA1837">
        <w:rPr>
          <w:rFonts w:cstheme="minorHAnsi"/>
          <w:lang w:val="en"/>
        </w:rPr>
        <w:t xml:space="preserve"> around communities should be encouraged where it can be demonstrated that </w:t>
      </w:r>
      <w:r w:rsidR="004F6408" w:rsidRPr="004F6408">
        <w:rPr>
          <w:rFonts w:cstheme="minorHAnsi"/>
          <w:lang w:val="en"/>
        </w:rPr>
        <w:t xml:space="preserve">it contributes to objectives identified in community wildfire </w:t>
      </w:r>
      <w:r w:rsidR="00691420">
        <w:rPr>
          <w:rFonts w:cstheme="minorHAnsi"/>
          <w:lang w:val="en"/>
        </w:rPr>
        <w:t xml:space="preserve">risk </w:t>
      </w:r>
      <w:r w:rsidR="004F6408" w:rsidRPr="004F6408">
        <w:rPr>
          <w:rFonts w:cstheme="minorHAnsi"/>
          <w:lang w:val="en"/>
        </w:rPr>
        <w:t>abatement plans</w:t>
      </w:r>
      <w:r w:rsidRPr="00DA1837">
        <w:rPr>
          <w:rFonts w:cstheme="minorHAnsi"/>
          <w:lang w:val="en"/>
        </w:rPr>
        <w:t>.</w:t>
      </w:r>
      <w:r w:rsidR="000B18B1" w:rsidRPr="000B18B1">
        <w:t xml:space="preserve"> </w:t>
      </w:r>
      <w:r w:rsidRPr="00B250E3">
        <w:rPr>
          <w:rFonts w:cstheme="minorHAnsi"/>
          <w:lang w:val="en"/>
        </w:rPr>
        <w:t xml:space="preserve"> </w:t>
      </w:r>
    </w:p>
    <w:p w14:paraId="44FAACD3" w14:textId="3C67F499" w:rsidR="009D2B41" w:rsidRPr="00BB1EB9" w:rsidRDefault="00BE62E0" w:rsidP="00543289">
      <w:pPr>
        <w:pStyle w:val="Heading2"/>
      </w:pPr>
      <w:bookmarkStart w:id="16" w:name="_Toc503934739"/>
      <w:r>
        <w:t>Guidance</w:t>
      </w:r>
      <w:r w:rsidR="00543289">
        <w:t xml:space="preserve"> for </w:t>
      </w:r>
      <w:r w:rsidR="00267EC5" w:rsidRPr="00BB1EB9">
        <w:t xml:space="preserve">legally </w:t>
      </w:r>
      <w:r w:rsidR="00267EC5">
        <w:t>protected</w:t>
      </w:r>
      <w:r w:rsidR="00267EC5" w:rsidRPr="00BB1EB9">
        <w:t xml:space="preserve"> </w:t>
      </w:r>
      <w:r w:rsidR="00267EC5">
        <w:t>a</w:t>
      </w:r>
      <w:r w:rsidR="00267EC5" w:rsidRPr="00BB1EB9">
        <w:t>reas</w:t>
      </w:r>
      <w:bookmarkEnd w:id="16"/>
    </w:p>
    <w:p w14:paraId="5FC4EF18" w14:textId="74F1C477" w:rsidR="009D2B41" w:rsidRPr="006B0D40" w:rsidRDefault="009D2B41" w:rsidP="006B0D40">
      <w:pPr>
        <w:pStyle w:val="ListParagraph"/>
        <w:numPr>
          <w:ilvl w:val="0"/>
          <w:numId w:val="44"/>
        </w:numPr>
        <w:ind w:left="426"/>
        <w:jc w:val="both"/>
      </w:pPr>
      <w:r>
        <w:rPr>
          <w:rFonts w:eastAsia="Times New Roman" w:cstheme="minorHAnsi"/>
          <w:lang w:val="en-CA" w:eastAsia="en-CA"/>
        </w:rPr>
        <w:t xml:space="preserve">No salvage </w:t>
      </w:r>
      <w:r w:rsidR="00916126">
        <w:t>logging</w:t>
      </w:r>
      <w:r w:rsidRPr="006B0D40">
        <w:t xml:space="preserve"> should be considered in ‘protected areas’ including Ecological Reserves, parks (</w:t>
      </w:r>
      <w:r w:rsidR="00D032D0">
        <w:t>f</w:t>
      </w:r>
      <w:r w:rsidRPr="006B0D40">
        <w:t xml:space="preserve">ederal, </w:t>
      </w:r>
      <w:r w:rsidR="00D032D0">
        <w:t>p</w:t>
      </w:r>
      <w:r w:rsidRPr="006B0D40">
        <w:t>rovincial, regional and local) and ‘conservation lands’ unless there is a</w:t>
      </w:r>
      <w:r w:rsidR="00DA1837" w:rsidRPr="006B0D40">
        <w:t xml:space="preserve"> </w:t>
      </w:r>
      <w:r w:rsidR="00D032D0">
        <w:t>g</w:t>
      </w:r>
      <w:r w:rsidR="00DA1837" w:rsidRPr="006B0D40">
        <w:t>overnment</w:t>
      </w:r>
      <w:r w:rsidR="00691420">
        <w:t>-</w:t>
      </w:r>
      <w:r w:rsidR="00DA1837" w:rsidRPr="006B0D40">
        <w:t>approved</w:t>
      </w:r>
      <w:r w:rsidRPr="006B0D40">
        <w:t xml:space="preserve"> management plan that specifically states how salvage </w:t>
      </w:r>
      <w:r w:rsidR="00916126">
        <w:t>logging</w:t>
      </w:r>
      <w:r w:rsidRPr="006B0D40">
        <w:t xml:space="preserve"> </w:t>
      </w:r>
      <w:r w:rsidR="00B60F15">
        <w:t>will</w:t>
      </w:r>
      <w:r w:rsidR="00B60F15" w:rsidRPr="006B0D40">
        <w:t xml:space="preserve"> </w:t>
      </w:r>
      <w:r w:rsidR="00131AC3">
        <w:t>improve</w:t>
      </w:r>
      <w:r w:rsidR="00131AC3" w:rsidRPr="006B0D40">
        <w:t xml:space="preserve"> </w:t>
      </w:r>
      <w:r w:rsidRPr="006B0D40">
        <w:t xml:space="preserve">the value </w:t>
      </w:r>
      <w:r w:rsidR="00B60F15">
        <w:t>of the</w:t>
      </w:r>
      <w:r w:rsidRPr="006B0D40">
        <w:t xml:space="preserve"> protected area.</w:t>
      </w:r>
    </w:p>
    <w:p w14:paraId="211560C2" w14:textId="7636F96F" w:rsidR="009D2B41" w:rsidRPr="0094157D" w:rsidRDefault="009D2B41" w:rsidP="006E637A">
      <w:pPr>
        <w:pStyle w:val="ListParagraph"/>
        <w:numPr>
          <w:ilvl w:val="0"/>
          <w:numId w:val="44"/>
        </w:numPr>
        <w:ind w:left="426"/>
        <w:jc w:val="both"/>
        <w:rPr>
          <w:rFonts w:eastAsia="Times New Roman" w:cstheme="minorHAnsi"/>
          <w:lang w:val="en-CA" w:eastAsia="en-CA"/>
        </w:rPr>
      </w:pPr>
      <w:r w:rsidRPr="006B0D40">
        <w:t>All ‘landscape</w:t>
      </w:r>
      <w:r w:rsidR="00691420">
        <w:t>-</w:t>
      </w:r>
      <w:r w:rsidRPr="006B0D40">
        <w:t>scale’</w:t>
      </w:r>
      <w:r w:rsidRPr="00BB1EB9">
        <w:rPr>
          <w:rFonts w:eastAsia="Times New Roman" w:cstheme="minorHAnsi"/>
          <w:lang w:val="en-CA" w:eastAsia="en-CA"/>
        </w:rPr>
        <w:t xml:space="preserve"> legal designations </w:t>
      </w:r>
      <w:r w:rsidR="00EE2FE9">
        <w:rPr>
          <w:rFonts w:eastAsia="Times New Roman" w:cstheme="minorHAnsi"/>
          <w:lang w:val="en-CA" w:eastAsia="en-CA"/>
        </w:rPr>
        <w:t xml:space="preserve">that contribute to objectives set by government under the </w:t>
      </w:r>
      <w:r w:rsidR="00EE2FE9">
        <w:rPr>
          <w:rFonts w:eastAsia="Times New Roman" w:cstheme="minorHAnsi"/>
          <w:i/>
          <w:lang w:val="en-CA" w:eastAsia="en-CA"/>
        </w:rPr>
        <w:t>Forest and Range Practices</w:t>
      </w:r>
      <w:r w:rsidR="00EE2FE9" w:rsidRPr="00D032D0">
        <w:rPr>
          <w:rFonts w:eastAsia="Times New Roman" w:cstheme="minorHAnsi"/>
          <w:i/>
          <w:lang w:val="en-CA" w:eastAsia="en-CA"/>
        </w:rPr>
        <w:t xml:space="preserve"> </w:t>
      </w:r>
      <w:r w:rsidR="00EE2FE9" w:rsidRPr="006C1741">
        <w:rPr>
          <w:i/>
          <w:lang w:val="en-CA"/>
        </w:rPr>
        <w:t>Act</w:t>
      </w:r>
      <w:r w:rsidR="00EE2FE9">
        <w:rPr>
          <w:rFonts w:eastAsia="Times New Roman" w:cstheme="minorHAnsi"/>
          <w:lang w:val="en-CA" w:eastAsia="en-CA"/>
        </w:rPr>
        <w:t xml:space="preserve"> (</w:t>
      </w:r>
      <w:r w:rsidR="00EE2FE9" w:rsidRPr="007B790A">
        <w:rPr>
          <w:rFonts w:eastAsia="Times New Roman" w:cstheme="minorHAnsi"/>
          <w:lang w:val="en-CA" w:eastAsia="en-CA"/>
        </w:rPr>
        <w:t>FRPA</w:t>
      </w:r>
      <w:r w:rsidR="00EE2FE9">
        <w:rPr>
          <w:rFonts w:eastAsia="Times New Roman" w:cstheme="minorHAnsi"/>
          <w:lang w:val="en-CA" w:eastAsia="en-CA"/>
        </w:rPr>
        <w:t>) (with the exception of Scenic Areas</w:t>
      </w:r>
      <w:r w:rsidR="00DF4D63">
        <w:rPr>
          <w:rFonts w:eastAsia="Times New Roman" w:cstheme="minorHAnsi"/>
          <w:lang w:val="en-CA" w:eastAsia="en-CA"/>
        </w:rPr>
        <w:t>, see below</w:t>
      </w:r>
      <w:r w:rsidR="00EE2FE9">
        <w:rPr>
          <w:rFonts w:eastAsia="Times New Roman" w:cstheme="minorHAnsi"/>
          <w:lang w:val="en-CA" w:eastAsia="en-CA"/>
        </w:rPr>
        <w:t xml:space="preserve">) </w:t>
      </w:r>
      <w:r w:rsidRPr="00BB1EB9">
        <w:rPr>
          <w:rFonts w:eastAsia="Times New Roman" w:cstheme="minorHAnsi"/>
          <w:lang w:val="en-CA" w:eastAsia="en-CA"/>
        </w:rPr>
        <w:t>should not be co</w:t>
      </w:r>
      <w:bookmarkStart w:id="17" w:name="_GoBack"/>
      <w:bookmarkEnd w:id="17"/>
      <w:r w:rsidRPr="00BB1EB9">
        <w:rPr>
          <w:rFonts w:eastAsia="Times New Roman" w:cstheme="minorHAnsi"/>
          <w:lang w:val="en-CA" w:eastAsia="en-CA"/>
        </w:rPr>
        <w:t xml:space="preserve">nsidered for salvage </w:t>
      </w:r>
      <w:r w:rsidR="00916126">
        <w:rPr>
          <w:rFonts w:eastAsia="Times New Roman" w:cstheme="minorHAnsi"/>
          <w:lang w:val="en-CA" w:eastAsia="en-CA"/>
        </w:rPr>
        <w:t>logging</w:t>
      </w:r>
      <w:r w:rsidRPr="00BB1EB9">
        <w:rPr>
          <w:rFonts w:eastAsia="Times New Roman" w:cstheme="minorHAnsi"/>
          <w:lang w:val="en-CA" w:eastAsia="en-CA"/>
        </w:rPr>
        <w:t xml:space="preserve"> </w:t>
      </w:r>
      <w:r w:rsidR="00B44377" w:rsidRPr="00B44377">
        <w:rPr>
          <w:rFonts w:eastAsia="Times New Roman" w:cstheme="minorHAnsi"/>
          <w:highlight w:val="red"/>
          <w:lang w:val="en-CA" w:eastAsia="en-CA"/>
        </w:rPr>
        <w:t>unless</w:t>
      </w:r>
      <w:r w:rsidR="00DA1837" w:rsidRPr="00B44377">
        <w:rPr>
          <w:rFonts w:eastAsia="Times New Roman" w:cstheme="minorHAnsi"/>
          <w:highlight w:val="red"/>
          <w:lang w:val="en-CA" w:eastAsia="en-CA"/>
        </w:rPr>
        <w:t xml:space="preserve"> government </w:t>
      </w:r>
      <w:r w:rsidR="00C72054" w:rsidRPr="00DA11C4">
        <w:rPr>
          <w:rFonts w:eastAsia="Times New Roman" w:cstheme="minorHAnsi"/>
          <w:highlight w:val="red"/>
          <w:lang w:val="en-CA" w:eastAsia="en-CA"/>
        </w:rPr>
        <w:t xml:space="preserve">has </w:t>
      </w:r>
      <w:r w:rsidR="00DA11C4" w:rsidRPr="00DA11C4">
        <w:rPr>
          <w:rFonts w:eastAsia="Times New Roman" w:cstheme="minorHAnsi"/>
          <w:highlight w:val="red"/>
          <w:lang w:val="en-CA" w:eastAsia="en-CA"/>
        </w:rPr>
        <w:t>approved</w:t>
      </w:r>
      <w:r w:rsidR="00C72054" w:rsidRPr="00DA11C4">
        <w:rPr>
          <w:rFonts w:eastAsia="Times New Roman" w:cstheme="minorHAnsi"/>
          <w:highlight w:val="red"/>
          <w:lang w:val="en-CA" w:eastAsia="en-CA"/>
        </w:rPr>
        <w:t xml:space="preserve"> a</w:t>
      </w:r>
      <w:r w:rsidR="00DA1837" w:rsidRPr="00DA11C4">
        <w:rPr>
          <w:rFonts w:eastAsia="Times New Roman" w:cstheme="minorHAnsi"/>
          <w:highlight w:val="red"/>
          <w:lang w:val="en-CA" w:eastAsia="en-CA"/>
        </w:rPr>
        <w:t xml:space="preserve"> plan</w:t>
      </w:r>
      <w:r w:rsidR="00DA1837">
        <w:rPr>
          <w:rFonts w:eastAsia="Times New Roman" w:cstheme="minorHAnsi"/>
          <w:lang w:val="en-CA" w:eastAsia="en-CA"/>
        </w:rPr>
        <w:t xml:space="preserve"> that demonstrates how the value(s) </w:t>
      </w:r>
      <w:r w:rsidR="00E34500">
        <w:rPr>
          <w:rFonts w:eastAsia="Times New Roman" w:cstheme="minorHAnsi"/>
          <w:lang w:val="en-CA" w:eastAsia="en-CA"/>
        </w:rPr>
        <w:t>covered by the designation</w:t>
      </w:r>
      <w:r w:rsidR="00DA1837">
        <w:rPr>
          <w:rFonts w:eastAsia="Times New Roman" w:cstheme="minorHAnsi"/>
          <w:lang w:val="en-CA" w:eastAsia="en-CA"/>
        </w:rPr>
        <w:t xml:space="preserve"> will be retained, recover</w:t>
      </w:r>
      <w:r w:rsidR="00BE62E0">
        <w:rPr>
          <w:rFonts w:eastAsia="Times New Roman" w:cstheme="minorHAnsi"/>
          <w:lang w:val="en-CA" w:eastAsia="en-CA"/>
        </w:rPr>
        <w:t>e</w:t>
      </w:r>
      <w:r w:rsidR="00DA1837">
        <w:rPr>
          <w:rFonts w:eastAsia="Times New Roman" w:cstheme="minorHAnsi"/>
          <w:lang w:val="en-CA" w:eastAsia="en-CA"/>
        </w:rPr>
        <w:t xml:space="preserve">d, or </w:t>
      </w:r>
      <w:r w:rsidR="00CD5C9A">
        <w:rPr>
          <w:rFonts w:eastAsia="Times New Roman" w:cstheme="minorHAnsi"/>
          <w:lang w:val="en-CA" w:eastAsia="en-CA"/>
        </w:rPr>
        <w:t>improved.</w:t>
      </w:r>
      <w:r w:rsidR="00DA1837" w:rsidRPr="00BB1EB9">
        <w:rPr>
          <w:rFonts w:eastAsia="Times New Roman" w:cstheme="minorHAnsi"/>
          <w:lang w:val="en-CA" w:eastAsia="en-CA"/>
        </w:rPr>
        <w:t xml:space="preserve"> </w:t>
      </w:r>
      <w:r w:rsidR="00EE2FE9">
        <w:t>This guidance is consistent with other approved guidance. For example, “p</w:t>
      </w:r>
      <w:r w:rsidR="00EE2FE9" w:rsidRPr="003002D4">
        <w:t>ost-fire treatments must have the objective</w:t>
      </w:r>
      <w:r w:rsidR="00EE2FE9">
        <w:t xml:space="preserve"> of restoration of [Mule Deer Winter Range] habitat.”</w:t>
      </w:r>
      <w:r w:rsidR="003830ED">
        <w:rPr>
          <w:rStyle w:val="FootnoteReference"/>
        </w:rPr>
        <w:footnoteReference w:id="7"/>
      </w:r>
      <w:r w:rsidR="003830ED">
        <w:t xml:space="preserve"> </w:t>
      </w:r>
      <w:r w:rsidRPr="0094157D">
        <w:rPr>
          <w:rFonts w:eastAsia="Times New Roman" w:cstheme="minorHAnsi"/>
          <w:lang w:val="en-CA" w:eastAsia="en-CA"/>
        </w:rPr>
        <w:t xml:space="preserve">These designations are: </w:t>
      </w:r>
    </w:p>
    <w:p w14:paraId="4C2DC1AD" w14:textId="5C9A348E" w:rsidR="009D2B41" w:rsidRDefault="009D2B41" w:rsidP="00FF0CDC">
      <w:pPr>
        <w:pStyle w:val="ListParagraph"/>
        <w:numPr>
          <w:ilvl w:val="0"/>
          <w:numId w:val="55"/>
        </w:numPr>
        <w:ind w:left="810"/>
        <w:jc w:val="both"/>
      </w:pPr>
      <w:r>
        <w:t>Old Growth Management Areas (OGMA)</w:t>
      </w:r>
      <w:r w:rsidR="00B60F15">
        <w:t>;</w:t>
      </w:r>
    </w:p>
    <w:p w14:paraId="126BE377" w14:textId="22DF0624" w:rsidR="009D2B41" w:rsidRDefault="009D2B41" w:rsidP="00FF0CDC">
      <w:pPr>
        <w:pStyle w:val="ListParagraph"/>
        <w:numPr>
          <w:ilvl w:val="0"/>
          <w:numId w:val="55"/>
        </w:numPr>
        <w:ind w:left="810"/>
        <w:jc w:val="both"/>
      </w:pPr>
      <w:r>
        <w:t>Ungulate Winter Ranges (UWR)</w:t>
      </w:r>
      <w:r w:rsidR="00B60F15">
        <w:t>;</w:t>
      </w:r>
    </w:p>
    <w:p w14:paraId="500208FF" w14:textId="60FB4714" w:rsidR="009D2B41" w:rsidRDefault="009D2B41" w:rsidP="00FF0CDC">
      <w:pPr>
        <w:pStyle w:val="ListParagraph"/>
        <w:numPr>
          <w:ilvl w:val="0"/>
          <w:numId w:val="55"/>
        </w:numPr>
        <w:ind w:left="810"/>
        <w:jc w:val="both"/>
      </w:pPr>
      <w:r>
        <w:t>Wildlife Habitat Areas (WHA)</w:t>
      </w:r>
      <w:r w:rsidR="00B60F15">
        <w:t xml:space="preserve">; and </w:t>
      </w:r>
    </w:p>
    <w:p w14:paraId="79200463" w14:textId="22E2A65B" w:rsidR="009D2B41" w:rsidRDefault="009D2B41" w:rsidP="00FF0CDC">
      <w:pPr>
        <w:pStyle w:val="ListParagraph"/>
        <w:numPr>
          <w:ilvl w:val="0"/>
          <w:numId w:val="55"/>
        </w:numPr>
        <w:ind w:left="810"/>
        <w:jc w:val="both"/>
      </w:pPr>
      <w:r>
        <w:t>Fisheries Sensitive Watersheds (FSW)</w:t>
      </w:r>
      <w:r w:rsidR="00B60F15">
        <w:t>.</w:t>
      </w:r>
    </w:p>
    <w:p w14:paraId="48033F7B" w14:textId="76B0989F" w:rsidR="00DF4D63" w:rsidRDefault="00DF4D63" w:rsidP="00DF4D63">
      <w:pPr>
        <w:pStyle w:val="ListParagraph"/>
        <w:numPr>
          <w:ilvl w:val="0"/>
          <w:numId w:val="44"/>
        </w:numPr>
        <w:ind w:left="426"/>
        <w:jc w:val="both"/>
        <w:rPr>
          <w:rFonts w:cstheme="minorHAnsi"/>
        </w:rPr>
      </w:pPr>
      <w:r w:rsidRPr="00FB507C">
        <w:t>Visual</w:t>
      </w:r>
      <w:r w:rsidRPr="00E45C2C">
        <w:rPr>
          <w:rFonts w:cstheme="minorHAnsi"/>
        </w:rPr>
        <w:t xml:space="preserve"> Quality Objectives </w:t>
      </w:r>
      <w:r w:rsidR="00D032D0">
        <w:rPr>
          <w:rFonts w:cstheme="minorHAnsi"/>
        </w:rPr>
        <w:t xml:space="preserve">(VQOs) </w:t>
      </w:r>
      <w:r w:rsidRPr="00E45C2C">
        <w:rPr>
          <w:rFonts w:cstheme="minorHAnsi"/>
        </w:rPr>
        <w:t>are legal requirements</w:t>
      </w:r>
      <w:r>
        <w:rPr>
          <w:rFonts w:cstheme="minorHAnsi"/>
        </w:rPr>
        <w:t xml:space="preserve">. </w:t>
      </w:r>
      <w:r w:rsidRPr="00803194">
        <w:rPr>
          <w:rFonts w:cstheme="minorHAnsi"/>
        </w:rPr>
        <w:t>Management</w:t>
      </w:r>
      <w:r w:rsidR="00751F37">
        <w:rPr>
          <w:rFonts w:cstheme="minorHAnsi"/>
        </w:rPr>
        <w:t xml:space="preserve"> of </w:t>
      </w:r>
      <w:r w:rsidR="000B18B1">
        <w:rPr>
          <w:rFonts w:cstheme="minorHAnsi"/>
        </w:rPr>
        <w:t xml:space="preserve">salvage logging in </w:t>
      </w:r>
      <w:r w:rsidR="00751F37">
        <w:rPr>
          <w:rFonts w:cstheme="minorHAnsi"/>
        </w:rPr>
        <w:t>these areas</w:t>
      </w:r>
      <w:r w:rsidRPr="00803194">
        <w:rPr>
          <w:rFonts w:cstheme="minorHAnsi"/>
        </w:rPr>
        <w:t xml:space="preserve"> must remain consistent</w:t>
      </w:r>
      <w:r>
        <w:rPr>
          <w:rFonts w:cstheme="minorHAnsi"/>
        </w:rPr>
        <w:t xml:space="preserve"> </w:t>
      </w:r>
      <w:r w:rsidRPr="00803194">
        <w:rPr>
          <w:rFonts w:cstheme="minorHAnsi"/>
        </w:rPr>
        <w:t>with VQOs during salvage operations.</w:t>
      </w:r>
      <w:r w:rsidR="001B53C4">
        <w:rPr>
          <w:rStyle w:val="FootnoteReference"/>
          <w:rFonts w:eastAsia="Times New Roman" w:cstheme="minorHAnsi"/>
          <w:lang w:val="en-CA" w:eastAsia="en-CA"/>
        </w:rPr>
        <w:footnoteReference w:id="8"/>
      </w:r>
      <w:r w:rsidRPr="00803194">
        <w:rPr>
          <w:rFonts w:cstheme="minorHAnsi"/>
        </w:rPr>
        <w:t xml:space="preserve"> </w:t>
      </w:r>
    </w:p>
    <w:p w14:paraId="3FA72D52" w14:textId="08509531" w:rsidR="00DF4D63" w:rsidRPr="00FB507C" w:rsidRDefault="00DF4D63" w:rsidP="00FF0CDC">
      <w:pPr>
        <w:pStyle w:val="ListParagraph"/>
        <w:numPr>
          <w:ilvl w:val="1"/>
          <w:numId w:val="44"/>
        </w:numPr>
        <w:ind w:left="810"/>
        <w:jc w:val="both"/>
        <w:rPr>
          <w:rFonts w:cstheme="minorHAnsi"/>
        </w:rPr>
      </w:pPr>
      <w:r w:rsidRPr="00FB507C">
        <w:rPr>
          <w:rFonts w:cstheme="minorHAnsi"/>
        </w:rPr>
        <w:t xml:space="preserve">Where significant activities are required to salvage and restore, or </w:t>
      </w:r>
      <w:r w:rsidR="007E7702">
        <w:rPr>
          <w:rFonts w:cstheme="minorHAnsi"/>
        </w:rPr>
        <w:t xml:space="preserve">to </w:t>
      </w:r>
      <w:r w:rsidRPr="00FB507C">
        <w:rPr>
          <w:rFonts w:cstheme="minorHAnsi"/>
        </w:rPr>
        <w:t>rehabilitate, local government</w:t>
      </w:r>
      <w:r w:rsidR="00751F37">
        <w:rPr>
          <w:rFonts w:cstheme="minorHAnsi"/>
        </w:rPr>
        <w:t xml:space="preserve"> and impacted </w:t>
      </w:r>
      <w:r w:rsidR="00EF0B95">
        <w:rPr>
          <w:rFonts w:cstheme="minorHAnsi"/>
        </w:rPr>
        <w:t xml:space="preserve">Indigenous people </w:t>
      </w:r>
      <w:r w:rsidRPr="00FB507C">
        <w:rPr>
          <w:rFonts w:cstheme="minorHAnsi"/>
        </w:rPr>
        <w:t>should be engaged</w:t>
      </w:r>
      <w:r w:rsidR="007E7702">
        <w:rPr>
          <w:rFonts w:cstheme="minorHAnsi"/>
        </w:rPr>
        <w:t xml:space="preserve"> in the discussion</w:t>
      </w:r>
      <w:r w:rsidRPr="00FB507C">
        <w:rPr>
          <w:rFonts w:cstheme="minorHAnsi"/>
        </w:rPr>
        <w:t>.</w:t>
      </w:r>
    </w:p>
    <w:p w14:paraId="0B828240" w14:textId="6EF31DA5" w:rsidR="00DF4D63" w:rsidRDefault="00DF4D63" w:rsidP="00FF0CDC">
      <w:pPr>
        <w:pStyle w:val="ListParagraph"/>
        <w:numPr>
          <w:ilvl w:val="1"/>
          <w:numId w:val="44"/>
        </w:numPr>
        <w:autoSpaceDE w:val="0"/>
        <w:autoSpaceDN w:val="0"/>
        <w:adjustRightInd w:val="0"/>
        <w:spacing w:after="0" w:line="240" w:lineRule="auto"/>
        <w:ind w:left="810" w:right="62"/>
        <w:rPr>
          <w:rFonts w:cstheme="minorHAnsi"/>
        </w:rPr>
      </w:pPr>
      <w:r>
        <w:rPr>
          <w:rFonts w:cstheme="minorHAnsi"/>
        </w:rPr>
        <w:t>Areas</w:t>
      </w:r>
      <w:r w:rsidRPr="003F7322">
        <w:rPr>
          <w:rFonts w:cstheme="minorHAnsi"/>
        </w:rPr>
        <w:t xml:space="preserve"> with established Preservation or Retention VQOs</w:t>
      </w:r>
      <w:r>
        <w:rPr>
          <w:rFonts w:cstheme="minorHAnsi"/>
        </w:rPr>
        <w:t xml:space="preserve"> may not be suitable for salvage </w:t>
      </w:r>
      <w:r w:rsidR="00916126">
        <w:rPr>
          <w:rFonts w:cstheme="minorHAnsi"/>
        </w:rPr>
        <w:t>logging</w:t>
      </w:r>
      <w:r>
        <w:rPr>
          <w:rFonts w:cstheme="minorHAnsi"/>
        </w:rPr>
        <w:t xml:space="preserve">, but </w:t>
      </w:r>
      <w:r w:rsidR="007E7702">
        <w:rPr>
          <w:rFonts w:cstheme="minorHAnsi"/>
        </w:rPr>
        <w:t xml:space="preserve">they may be </w:t>
      </w:r>
      <w:r>
        <w:rPr>
          <w:rFonts w:cstheme="minorHAnsi"/>
        </w:rPr>
        <w:t>candidates for restoration.</w:t>
      </w:r>
      <w:r w:rsidRPr="003F7322">
        <w:rPr>
          <w:rFonts w:cstheme="minorHAnsi"/>
        </w:rPr>
        <w:t xml:space="preserve"> </w:t>
      </w:r>
    </w:p>
    <w:p w14:paraId="4429A79A" w14:textId="7AAAE448" w:rsidR="00DF4D63" w:rsidRPr="00DF4D63" w:rsidRDefault="00DF4D63" w:rsidP="00FF0CDC">
      <w:pPr>
        <w:pStyle w:val="ListParagraph"/>
        <w:numPr>
          <w:ilvl w:val="1"/>
          <w:numId w:val="44"/>
        </w:numPr>
        <w:autoSpaceDE w:val="0"/>
        <w:autoSpaceDN w:val="0"/>
        <w:adjustRightInd w:val="0"/>
        <w:spacing w:after="0" w:line="240" w:lineRule="auto"/>
        <w:ind w:left="810" w:right="62"/>
        <w:rPr>
          <w:rFonts w:cstheme="minorHAnsi"/>
        </w:rPr>
      </w:pPr>
      <w:r>
        <w:rPr>
          <w:rFonts w:cstheme="minorHAnsi"/>
        </w:rPr>
        <w:t>In areas with Modification VQOs, salvaging beyond the usual percent alteration range, as part of a recovery plan, may be warranted.</w:t>
      </w:r>
    </w:p>
    <w:p w14:paraId="4D227B5A" w14:textId="01947E02" w:rsidR="009D2B41" w:rsidRDefault="009D2B41" w:rsidP="0094157D">
      <w:pPr>
        <w:pStyle w:val="ListParagraph"/>
        <w:numPr>
          <w:ilvl w:val="0"/>
          <w:numId w:val="44"/>
        </w:numPr>
        <w:ind w:left="426"/>
        <w:jc w:val="both"/>
      </w:pPr>
      <w:r>
        <w:t xml:space="preserve">Where </w:t>
      </w:r>
      <w:r w:rsidR="006E637A">
        <w:t>‘non-</w:t>
      </w:r>
      <w:r>
        <w:t>legal</w:t>
      </w:r>
      <w:r w:rsidR="00D032D0">
        <w:t>’</w:t>
      </w:r>
      <w:r>
        <w:t xml:space="preserve"> OGMAs are </w:t>
      </w:r>
      <w:r w:rsidR="00D546F5">
        <w:t xml:space="preserve">referenced </w:t>
      </w:r>
      <w:r>
        <w:t>in Forest Stewardship Plans as a means of achieving old forest retention targets in established legal orders</w:t>
      </w:r>
      <w:r w:rsidR="007E7702">
        <w:t>,</w:t>
      </w:r>
      <w:r>
        <w:t xml:space="preserve"> they should be treated like legally established OGMAs.</w:t>
      </w:r>
      <w:r w:rsidR="006E637A">
        <w:t xml:space="preserve"> Legally established old forest retention targets remain </w:t>
      </w:r>
      <w:r w:rsidR="006E637A" w:rsidRPr="006B0D40">
        <w:t>legal requirements.</w:t>
      </w:r>
      <w:r w:rsidR="006E637A">
        <w:rPr>
          <w:rStyle w:val="FootnoteReference"/>
        </w:rPr>
        <w:footnoteReference w:id="9"/>
      </w:r>
    </w:p>
    <w:p w14:paraId="16839BE4" w14:textId="65DB2A76" w:rsidR="00CD5C9A" w:rsidRDefault="009D2B41" w:rsidP="006B0D40">
      <w:pPr>
        <w:pStyle w:val="ListParagraph"/>
        <w:numPr>
          <w:ilvl w:val="0"/>
          <w:numId w:val="44"/>
        </w:numPr>
        <w:ind w:left="426"/>
        <w:jc w:val="both"/>
      </w:pPr>
      <w:r>
        <w:t>Th</w:t>
      </w:r>
      <w:r w:rsidR="00EB23D2">
        <w:t xml:space="preserve">e elements of this </w:t>
      </w:r>
      <w:r>
        <w:t xml:space="preserve">guidance on special management (conservation) areas should be considered </w:t>
      </w:r>
      <w:r w:rsidR="000B18B1">
        <w:t xml:space="preserve">to be </w:t>
      </w:r>
      <w:r>
        <w:t>minimum requirements</w:t>
      </w:r>
      <w:r w:rsidR="006E637A">
        <w:t>.</w:t>
      </w:r>
    </w:p>
    <w:p w14:paraId="28D36DDD" w14:textId="17E1B155" w:rsidR="009D2B41" w:rsidRDefault="009D2B41" w:rsidP="006B0D40">
      <w:pPr>
        <w:pStyle w:val="ListParagraph"/>
        <w:numPr>
          <w:ilvl w:val="0"/>
          <w:numId w:val="44"/>
        </w:numPr>
        <w:ind w:left="426"/>
        <w:jc w:val="both"/>
      </w:pPr>
      <w:r w:rsidRPr="00667950">
        <w:lastRenderedPageBreak/>
        <w:t xml:space="preserve">Where </w:t>
      </w:r>
      <w:r w:rsidR="009C1BAF">
        <w:t>wildfire</w:t>
      </w:r>
      <w:r w:rsidRPr="00667950">
        <w:t xml:space="preserve"> has destroyed the value for which the area was originally designated, </w:t>
      </w:r>
      <w:r w:rsidR="00CD5C9A">
        <w:t xml:space="preserve">and it cannot be recovered, </w:t>
      </w:r>
      <w:r w:rsidRPr="00667950">
        <w:t>an assessment should be conducted to determine whether a suitable replacement area can be identified and designated.</w:t>
      </w:r>
      <w:r w:rsidR="00D546F5">
        <w:t xml:space="preserve"> Suitable replacement areas must provide </w:t>
      </w:r>
      <w:r w:rsidR="00DC7811">
        <w:t xml:space="preserve">for equivalent </w:t>
      </w:r>
      <w:r w:rsidR="00D546F5">
        <w:t xml:space="preserve">or better </w:t>
      </w:r>
      <w:r w:rsidR="00BE5D8A">
        <w:t xml:space="preserve">forest </w:t>
      </w:r>
      <w:r w:rsidR="00D546F5">
        <w:t>values</w:t>
      </w:r>
      <w:r w:rsidR="007E7702">
        <w:t xml:space="preserve"> than what was provided</w:t>
      </w:r>
      <w:r w:rsidR="00BE5D8A">
        <w:t xml:space="preserve"> for</w:t>
      </w:r>
      <w:r w:rsidR="007E7702">
        <w:t xml:space="preserve"> in the burn</w:t>
      </w:r>
      <w:r w:rsidR="008709C1">
        <w:t>t</w:t>
      </w:r>
      <w:r w:rsidR="007E7702">
        <w:t xml:space="preserve"> area</w:t>
      </w:r>
      <w:r w:rsidR="00D546F5">
        <w:t>.</w:t>
      </w:r>
      <w:r>
        <w:rPr>
          <w:rStyle w:val="FootnoteReference"/>
        </w:rPr>
        <w:footnoteReference w:id="10"/>
      </w:r>
    </w:p>
    <w:p w14:paraId="134D30A7" w14:textId="0B758B7F" w:rsidR="009D2B41" w:rsidRPr="002B4262" w:rsidRDefault="00BE62E0" w:rsidP="002B4262">
      <w:pPr>
        <w:pStyle w:val="Heading2"/>
      </w:pPr>
      <w:bookmarkStart w:id="18" w:name="_Toc503934740"/>
      <w:r>
        <w:t>Guidance</w:t>
      </w:r>
      <w:r w:rsidR="00543289" w:rsidRPr="002B4262">
        <w:t xml:space="preserve"> for </w:t>
      </w:r>
      <w:r w:rsidR="00267EC5" w:rsidRPr="002B4262">
        <w:t>timber supply</w:t>
      </w:r>
      <w:bookmarkEnd w:id="18"/>
      <w:r w:rsidR="00267EC5" w:rsidRPr="002B4262">
        <w:t xml:space="preserve"> </w:t>
      </w:r>
    </w:p>
    <w:p w14:paraId="44AE0751" w14:textId="2B5A1BC1" w:rsidR="00416827" w:rsidRDefault="00416827" w:rsidP="00FF0CDC">
      <w:pPr>
        <w:pStyle w:val="ListParagraph"/>
        <w:numPr>
          <w:ilvl w:val="0"/>
          <w:numId w:val="44"/>
        </w:numPr>
        <w:jc w:val="both"/>
      </w:pPr>
      <w:r w:rsidRPr="00397FF1">
        <w:t>Marginally</w:t>
      </w:r>
      <w:r w:rsidR="00D93308">
        <w:t>-</w:t>
      </w:r>
      <w:r w:rsidR="00B60F15">
        <w:t>impacted</w:t>
      </w:r>
      <w:r w:rsidRPr="00397FF1">
        <w:t xml:space="preserve"> or non-impacted stands should be retained in order to contribute to the mid-term</w:t>
      </w:r>
      <w:r>
        <w:t xml:space="preserve"> </w:t>
      </w:r>
      <w:r w:rsidRPr="00397FF1">
        <w:t>timber supply.</w:t>
      </w:r>
    </w:p>
    <w:p w14:paraId="6BD90615" w14:textId="6F389F07" w:rsidR="00416827" w:rsidRDefault="00751F37" w:rsidP="00FF0CDC">
      <w:pPr>
        <w:pStyle w:val="ListParagraph"/>
        <w:numPr>
          <w:ilvl w:val="0"/>
          <w:numId w:val="44"/>
        </w:numPr>
        <w:jc w:val="both"/>
      </w:pPr>
      <w:r>
        <w:t xml:space="preserve">Where stands </w:t>
      </w:r>
      <w:r w:rsidR="002D765A">
        <w:t>have</w:t>
      </w:r>
      <w:r>
        <w:t xml:space="preserve"> low to moderate levels </w:t>
      </w:r>
      <w:r w:rsidR="0089496A">
        <w:t xml:space="preserve">of </w:t>
      </w:r>
      <w:r w:rsidR="002D765A">
        <w:t>trees killed by fire</w:t>
      </w:r>
      <w:r w:rsidR="00416827">
        <w:t xml:space="preserve">, </w:t>
      </w:r>
      <w:r w:rsidR="00E41584">
        <w:t>use</w:t>
      </w:r>
      <w:r w:rsidR="007E7702">
        <w:t xml:space="preserve"> only </w:t>
      </w:r>
      <w:r w:rsidR="00CD5C9A">
        <w:t xml:space="preserve">partial harvesting </w:t>
      </w:r>
      <w:r w:rsidR="00E41584">
        <w:t xml:space="preserve">silviculture systems and </w:t>
      </w:r>
      <w:r w:rsidR="00CD5C9A">
        <w:t>remove only dead stems</w:t>
      </w:r>
      <w:r w:rsidR="007E7702">
        <w:t xml:space="preserve">, </w:t>
      </w:r>
      <w:r w:rsidR="00416827">
        <w:t>to maximize the potential</w:t>
      </w:r>
      <w:r w:rsidR="00D546F5">
        <w:t xml:space="preserve"> for stands</w:t>
      </w:r>
      <w:r w:rsidR="00416827">
        <w:t xml:space="preserve"> to recover</w:t>
      </w:r>
      <w:r w:rsidR="00EB23D2">
        <w:t xml:space="preserve"> and contribute to the mid-</w:t>
      </w:r>
      <w:r w:rsidR="000B18B1">
        <w:t>term</w:t>
      </w:r>
      <w:r w:rsidR="00EB23D2">
        <w:t xml:space="preserve"> and long-term timber supply</w:t>
      </w:r>
      <w:r w:rsidR="00416827">
        <w:t>.</w:t>
      </w:r>
    </w:p>
    <w:p w14:paraId="07A3E5A4" w14:textId="5C3BDA82" w:rsidR="009D2B41" w:rsidRDefault="00416827" w:rsidP="00FF0CDC">
      <w:pPr>
        <w:pStyle w:val="ListParagraph"/>
        <w:numPr>
          <w:ilvl w:val="0"/>
          <w:numId w:val="44"/>
        </w:numPr>
        <w:jc w:val="both"/>
      </w:pPr>
      <w:r>
        <w:t>In more severely damaged stands, and w</w:t>
      </w:r>
      <w:r w:rsidR="00CD5C9A">
        <w:t>here the only practical silvicultural system is ‘clear</w:t>
      </w:r>
      <w:r w:rsidR="00EF5EB6">
        <w:t xml:space="preserve"> </w:t>
      </w:r>
      <w:r w:rsidR="00CD5C9A">
        <w:t xml:space="preserve">cut with reserves’, design cut blocks to encompass areas where at least 70% of the timber volume has been killed by </w:t>
      </w:r>
      <w:r w:rsidR="009C1BAF">
        <w:t>wildfire</w:t>
      </w:r>
      <w:r w:rsidR="00CD5C9A">
        <w:t xml:space="preserve"> or mountain pine beetle</w:t>
      </w:r>
      <w:r w:rsidR="00D93308">
        <w:t>,</w:t>
      </w:r>
      <w:r w:rsidR="00D546F5">
        <w:t xml:space="preserve"> and place reserves in </w:t>
      </w:r>
      <w:r w:rsidR="00BE5D8A">
        <w:t xml:space="preserve">the </w:t>
      </w:r>
      <w:r w:rsidR="00D546F5">
        <w:t>areas with live trees</w:t>
      </w:r>
      <w:r w:rsidR="00CD5C9A">
        <w:t xml:space="preserve">. </w:t>
      </w:r>
    </w:p>
    <w:p w14:paraId="09F8689B" w14:textId="5255A5CF" w:rsidR="00737A4C" w:rsidRDefault="00416827" w:rsidP="00836527">
      <w:pPr>
        <w:pStyle w:val="ListParagraph"/>
        <w:numPr>
          <w:ilvl w:val="1"/>
          <w:numId w:val="44"/>
        </w:numPr>
        <w:ind w:left="720"/>
        <w:jc w:val="both"/>
      </w:pPr>
      <w:r>
        <w:t>Note that in some of the drier parts of the Interior Douglas-fir zone, there may be significant problems reforest</w:t>
      </w:r>
      <w:r w:rsidR="00D93308">
        <w:t>ing salvaged</w:t>
      </w:r>
      <w:r>
        <w:t xml:space="preserve"> stands; particularly on steep south facing slopes.</w:t>
      </w:r>
      <w:r w:rsidR="00D546F5">
        <w:fldChar w:fldCharType="begin"/>
      </w:r>
      <w:r w:rsidR="009F50B6">
        <w:instrText xml:space="preserve"> ADDIN ZOTERO_ITEM CSL_CITATION {"citationID":"a14kvrdjagi","properties":{"formattedCitation":"{\\rtf \\super 14,15\\nosupersub{}}","plainCitation":"14,15"},"citationItems":[{"id":987,"uris":["http://zotero.org/users/2487980/items/R4ZZN6CZ"],"uri":["http://zotero.org/users/2487980/items/R4ZZN6CZ"],"itemData":{"id":987,"type":"article-journal","title":"Evidence for declining forest resilience to wildfires under climate change","container-title":"Ecology Letters","page":"n/a-n/a","source":"Wiley Online Library","abstract":"Forest resilience to climate change is a global concern given the potential effects of increased disturbance activity, warming temperatures and increased moisture stress on plants. We used a multi-regional dataset of 1485 sites across 52 wildfires from the US Rocky Mountains to ask if and how changing climate over the last several decades impacted post-fire tree regeneration, a key indicator of forest resilience. Results highlight significant decreases in tree regeneration in the 21st century. Annual moisture deficits were significantly greater from 2000 to 2015 as compared to 1985–1999, suggesting increasingly unfavourable post-fire growing conditions, corresponding to significantly lower seedling densities and increased regeneration failure. Dry forests that already occur at the edge of their climatic tolerance are most prone to conversion to non-forests after wildfires. Major climate-induced reduction in forest density and extent has important consequences for a myriad of ecosystem services now and in the future.","DOI":"10.1111/ele.12889","ISSN":"1461-0248","journalAbbreviation":"Ecol Lett","language":"en","author":[{"family":"Stevens-Rumann","given":"Camille S."},{"family":"Kemp","given":"Kerry B."},{"family":"Higuera","given":"Philip E."},{"family":"Harvey","given":"Brian J."},{"family":"Rother","given":"Monica T."},{"family":"Donato","given":"Daniel C."},{"family":"Morgan","given":"Penelope"},{"family":"Veblen","given":"Thomas T."}]}},{"id":948,"uris":["http://zotero.org/users/2487980/items/HUZED29X"],"uri":["http://zotero.org/users/2487980/items/HUZED29X"],"itemData":{"id":948,"type":"article-journal","title":"Climate change may restrict dryland forest regeneration in the 21st century","container-title":"Ecology","page":"1548-1559","volume":"98","issue":"6","source":"Wiley Online Library","abstract":"The persistence and geographic expansion of dryland forests in the 21st century will be influenced by how climate change supports the demographic processes associated with tree regeneration. Yet, the way that climate change may alter regeneration is unclear. We developed a quantitative framework that estimates forest regeneration potential (RP) as a function of key environmental conditions for ponderosa pine, a key dryland forest species. We integrated meteorological data and climate projections for 47 ponderosa pine forest sites across the western United States, and evaluated RP using an ecosystem water balance model. Our primary goal was to contrast conditions supporting regeneration among historical, mid-21st century and late-21st century time frames. Future climatic conditions supported 50% higher RP in 2020–2059 relative to 1910–2014. As temperatures increased more substantially in 2060–2099, seedling survival decreased, RP declined by 50%, and the frequency of years with very low RP increased from 25% to 58%. Thus, climate change may initially support higher RP and increase the likelihood of successful regeneration events, yet will ultimately reduce average RP and the frequency of years with moderate climate support of regeneration. Our results suggest that climate change alone may begin to restrict the persistence and expansion of dryland forests by limiting seedling survival in the late 21st century.","DOI":"10.1002/ecy.1791","ISSN":"1939-9170","journalAbbreviation":"Ecology","language":"en","author":[{"family":"Petrie","given":"M. D."},{"family":"Bradford","given":"J. B."},{"family":"Hubbard","given":"R. M."},{"family":"Lauenroth","given":"W. K."},{"family":"Andrews","given":"C. M."},{"family":"Schlaepfer","given":"D. R."}],"issued":{"date-parts":[["2017",6,1]]}}}],"schema":"https://github.com/citation-style-language/schema/raw/master/csl-citation.json"} </w:instrText>
      </w:r>
      <w:r w:rsidR="00D546F5">
        <w:fldChar w:fldCharType="separate"/>
      </w:r>
      <w:r w:rsidR="009F50B6" w:rsidRPr="009F50B6">
        <w:rPr>
          <w:rFonts w:ascii="Calibri" w:hAnsi="Calibri" w:cs="Calibri"/>
          <w:szCs w:val="24"/>
          <w:vertAlign w:val="superscript"/>
        </w:rPr>
        <w:t>14,15</w:t>
      </w:r>
      <w:r w:rsidR="00D546F5">
        <w:fldChar w:fldCharType="end"/>
      </w:r>
      <w:r>
        <w:t xml:space="preserve"> </w:t>
      </w:r>
    </w:p>
    <w:p w14:paraId="0C0D2B62" w14:textId="6FBA0D2A" w:rsidR="00416827" w:rsidRDefault="00416827" w:rsidP="00836527">
      <w:pPr>
        <w:pStyle w:val="ListParagraph"/>
        <w:numPr>
          <w:ilvl w:val="1"/>
          <w:numId w:val="44"/>
        </w:numPr>
        <w:ind w:left="720"/>
        <w:jc w:val="both"/>
      </w:pPr>
      <w:r>
        <w:t>The</w:t>
      </w:r>
      <w:r w:rsidR="00F84ADC">
        <w:t xml:space="preserve"> ability to meet</w:t>
      </w:r>
      <w:r>
        <w:t xml:space="preserve"> </w:t>
      </w:r>
      <w:r w:rsidR="00EE75A3">
        <w:t xml:space="preserve">reforestation </w:t>
      </w:r>
      <w:r>
        <w:t>obligation</w:t>
      </w:r>
      <w:r w:rsidR="00F84ADC">
        <w:t>s</w:t>
      </w:r>
      <w:r>
        <w:t xml:space="preserve"> should be carefully considered</w:t>
      </w:r>
      <w:r w:rsidR="00D546F5">
        <w:t xml:space="preserve"> </w:t>
      </w:r>
      <w:r w:rsidR="00F84ADC">
        <w:t>prior</w:t>
      </w:r>
      <w:r w:rsidR="00D546F5">
        <w:t xml:space="preserve"> to salvage </w:t>
      </w:r>
      <w:r w:rsidR="00916126">
        <w:t>logging</w:t>
      </w:r>
      <w:r>
        <w:t>.</w:t>
      </w:r>
      <w:r>
        <w:rPr>
          <w:rStyle w:val="FootnoteReference"/>
        </w:rPr>
        <w:footnoteReference w:id="11"/>
      </w:r>
      <w:r>
        <w:t xml:space="preserve"> </w:t>
      </w:r>
    </w:p>
    <w:p w14:paraId="585C4C47" w14:textId="66513555" w:rsidR="00416827" w:rsidRDefault="009D2B41" w:rsidP="00FF0CDC">
      <w:pPr>
        <w:pStyle w:val="ListParagraph"/>
        <w:numPr>
          <w:ilvl w:val="0"/>
          <w:numId w:val="44"/>
        </w:numPr>
        <w:jc w:val="both"/>
      </w:pPr>
      <w:r>
        <w:t>Maximize the potential to reforest damaged stands in the THLB with climate</w:t>
      </w:r>
      <w:r w:rsidR="00C2302C">
        <w:t>-</w:t>
      </w:r>
      <w:r>
        <w:t>adapted</w:t>
      </w:r>
      <w:r w:rsidR="00C2302C">
        <w:t xml:space="preserve"> </w:t>
      </w:r>
      <w:r>
        <w:t>tree species and seed sources.</w:t>
      </w:r>
      <w:r w:rsidR="00416827">
        <w:t xml:space="preserve"> </w:t>
      </w:r>
    </w:p>
    <w:p w14:paraId="00A096B8" w14:textId="2C1A6D06" w:rsidR="00416827" w:rsidRDefault="00416827" w:rsidP="00836527">
      <w:pPr>
        <w:pStyle w:val="ListParagraph"/>
        <w:numPr>
          <w:ilvl w:val="1"/>
          <w:numId w:val="44"/>
        </w:numPr>
        <w:ind w:left="720"/>
        <w:jc w:val="both"/>
      </w:pPr>
      <w:r>
        <w:t>Exercise caution when designing these treatments</w:t>
      </w:r>
      <w:r w:rsidR="00D93308">
        <w:t>.</w:t>
      </w:r>
      <w:r>
        <w:t xml:space="preserve"> </w:t>
      </w:r>
      <w:r w:rsidR="00D93308">
        <w:t>P</w:t>
      </w:r>
      <w:r w:rsidR="00D546F5">
        <w:t xml:space="preserve">articularly </w:t>
      </w:r>
      <w:r>
        <w:t xml:space="preserve">in </w:t>
      </w:r>
      <w:r w:rsidR="00C2302C">
        <w:t xml:space="preserve">stands dominated by </w:t>
      </w:r>
      <w:r>
        <w:t xml:space="preserve">Douglas-fir </w:t>
      </w:r>
      <w:r w:rsidR="00C2302C">
        <w:t>trees</w:t>
      </w:r>
      <w:r w:rsidR="00D546F5">
        <w:t xml:space="preserve"> in very dry climates</w:t>
      </w:r>
      <w:r>
        <w:t xml:space="preserve">, it may be advisable not to salvage before planting in an attempt to reforest the damaged stands, given that standing </w:t>
      </w:r>
      <w:proofErr w:type="gramStart"/>
      <w:r>
        <w:t>dead,</w:t>
      </w:r>
      <w:proofErr w:type="gramEnd"/>
      <w:r>
        <w:t xml:space="preserve"> and large</w:t>
      </w:r>
      <w:r w:rsidR="00D93308">
        <w:t>,</w:t>
      </w:r>
      <w:r>
        <w:t xml:space="preserve"> downed trees provide microclimates that mitigate the negative effects of frost and drought on seedlings. </w:t>
      </w:r>
      <w:r w:rsidR="00D93308">
        <w:t>W</w:t>
      </w:r>
      <w:r w:rsidR="00C72054">
        <w:t>ork</w:t>
      </w:r>
      <w:r w:rsidR="00D93308">
        <w:t>er</w:t>
      </w:r>
      <w:r w:rsidR="00C72054">
        <w:t xml:space="preserve"> safety must be </w:t>
      </w:r>
      <w:r w:rsidR="00EE75A3">
        <w:t>a priority in assessing these options.</w:t>
      </w:r>
    </w:p>
    <w:p w14:paraId="5770003B" w14:textId="16341F7B" w:rsidR="00515087" w:rsidRPr="00515087" w:rsidRDefault="00BE62E0" w:rsidP="00515087">
      <w:pPr>
        <w:pStyle w:val="Heading2"/>
      </w:pPr>
      <w:bookmarkStart w:id="19" w:name="_Toc503934741"/>
      <w:r>
        <w:t>Guidance</w:t>
      </w:r>
      <w:r w:rsidR="00AA5305">
        <w:t xml:space="preserve"> </w:t>
      </w:r>
      <w:r w:rsidR="0044538A">
        <w:t xml:space="preserve">for </w:t>
      </w:r>
      <w:r w:rsidR="00267EC5">
        <w:t>managing forest health</w:t>
      </w:r>
      <w:bookmarkEnd w:id="19"/>
    </w:p>
    <w:p w14:paraId="4CC408C3" w14:textId="15323D27" w:rsidR="00787C48" w:rsidRDefault="00787C48" w:rsidP="001B0DBA">
      <w:pPr>
        <w:numPr>
          <w:ilvl w:val="0"/>
          <w:numId w:val="28"/>
        </w:numPr>
        <w:ind w:left="357" w:hanging="357"/>
        <w:contextualSpacing/>
        <w:jc w:val="both"/>
      </w:pPr>
      <w:r>
        <w:t xml:space="preserve">Single tree </w:t>
      </w:r>
      <w:r w:rsidR="00EE75A3">
        <w:t>“</w:t>
      </w:r>
      <w:r>
        <w:t>fall and burn</w:t>
      </w:r>
      <w:r w:rsidR="00EE75A3">
        <w:t>”</w:t>
      </w:r>
      <w:r>
        <w:t xml:space="preserve"> techniques to suppress </w:t>
      </w:r>
      <w:r w:rsidR="0082067C">
        <w:t>Douglas-fir beetle (</w:t>
      </w:r>
      <w:r w:rsidR="0082067C" w:rsidRPr="007B790A">
        <w:rPr>
          <w:i/>
        </w:rPr>
        <w:t>Dendroctonus pseudotsugae</w:t>
      </w:r>
      <w:r w:rsidR="0082067C">
        <w:t xml:space="preserve">; </w:t>
      </w:r>
      <w:r>
        <w:t>DFB</w:t>
      </w:r>
      <w:r w:rsidR="0082067C">
        <w:t>)</w:t>
      </w:r>
      <w:r>
        <w:t xml:space="preserve"> </w:t>
      </w:r>
      <w:r w:rsidR="00B924B9">
        <w:t xml:space="preserve">are </w:t>
      </w:r>
      <w:r>
        <w:t xml:space="preserve">operationally impractical, </w:t>
      </w:r>
      <w:r w:rsidR="00EE75A3">
        <w:t xml:space="preserve">and </w:t>
      </w:r>
      <w:r>
        <w:t xml:space="preserve">limit the </w:t>
      </w:r>
      <w:r w:rsidR="00B924B9">
        <w:t>effectiveness</w:t>
      </w:r>
      <w:r>
        <w:t xml:space="preserve"> of suppression treatments across landscapes (compared to the efficacy of these treatments for MBP</w:t>
      </w:r>
      <w:r w:rsidR="009B5A11">
        <w:t xml:space="preserve"> suppression</w:t>
      </w:r>
      <w:r>
        <w:t xml:space="preserve">); therefore, objectives for DFB management are to limit the spread of the beetle and to reduce future losses. </w:t>
      </w:r>
    </w:p>
    <w:p w14:paraId="1790FA88" w14:textId="0CD549BD" w:rsidR="00787C48" w:rsidRDefault="00787C48" w:rsidP="00787C48">
      <w:pPr>
        <w:numPr>
          <w:ilvl w:val="0"/>
          <w:numId w:val="28"/>
        </w:numPr>
        <w:contextualSpacing/>
        <w:jc w:val="both"/>
      </w:pPr>
      <w:r>
        <w:t xml:space="preserve">A </w:t>
      </w:r>
      <w:r w:rsidRPr="00F1628C">
        <w:t>Douglas-fir Beetle Management Unit (DFBMU)</w:t>
      </w:r>
      <w:r w:rsidRPr="006543B1">
        <w:t xml:space="preserve"> </w:t>
      </w:r>
      <w:r>
        <w:t>may be delineated in the context of a landscape</w:t>
      </w:r>
      <w:r w:rsidR="00C2302C">
        <w:t>-</w:t>
      </w:r>
      <w:r>
        <w:t>level assessment of DFB hazard and risk.</w:t>
      </w:r>
      <w:r w:rsidRPr="006543B1">
        <w:rPr>
          <w:vertAlign w:val="superscript"/>
        </w:rPr>
        <w:footnoteReference w:id="12"/>
      </w:r>
      <w:r>
        <w:t xml:space="preserve"> </w:t>
      </w:r>
    </w:p>
    <w:p w14:paraId="2FE7F725" w14:textId="77777777" w:rsidR="00787C48" w:rsidRDefault="00787C48" w:rsidP="00787C48">
      <w:pPr>
        <w:numPr>
          <w:ilvl w:val="0"/>
          <w:numId w:val="28"/>
        </w:numPr>
        <w:contextualSpacing/>
        <w:jc w:val="both"/>
      </w:pPr>
      <w:r>
        <w:t>DFBMUs require:</w:t>
      </w:r>
    </w:p>
    <w:p w14:paraId="710101B5" w14:textId="77777777" w:rsidR="00787C48" w:rsidRDefault="00787C48" w:rsidP="00787C48">
      <w:pPr>
        <w:numPr>
          <w:ilvl w:val="1"/>
          <w:numId w:val="28"/>
        </w:numPr>
        <w:contextualSpacing/>
        <w:jc w:val="both"/>
      </w:pPr>
      <w:r>
        <w:t xml:space="preserve"> a clear statement of the rationale and objectives,</w:t>
      </w:r>
    </w:p>
    <w:p w14:paraId="4EAB7098" w14:textId="77777777" w:rsidR="00787C48" w:rsidRDefault="00787C48" w:rsidP="00787C48">
      <w:pPr>
        <w:numPr>
          <w:ilvl w:val="1"/>
          <w:numId w:val="28"/>
        </w:numPr>
        <w:contextualSpacing/>
        <w:jc w:val="both"/>
      </w:pPr>
      <w:r>
        <w:t xml:space="preserve">an evaluation of risk if DFB treatments are not undertaken, </w:t>
      </w:r>
    </w:p>
    <w:p w14:paraId="220B4A2B" w14:textId="77777777" w:rsidR="00787C48" w:rsidRDefault="00787C48" w:rsidP="00787C48">
      <w:pPr>
        <w:numPr>
          <w:ilvl w:val="1"/>
          <w:numId w:val="28"/>
        </w:numPr>
        <w:contextualSpacing/>
        <w:jc w:val="both"/>
      </w:pPr>
      <w:r>
        <w:t>a statement of the expected outcomes of treatments and</w:t>
      </w:r>
    </w:p>
    <w:p w14:paraId="331908C8" w14:textId="035FE4EC" w:rsidR="0035262F" w:rsidRDefault="00787C48" w:rsidP="004579CF">
      <w:pPr>
        <w:numPr>
          <w:ilvl w:val="1"/>
          <w:numId w:val="28"/>
        </w:numPr>
        <w:contextualSpacing/>
        <w:jc w:val="both"/>
      </w:pPr>
      <w:r>
        <w:t>treatment efficacy monitoring.</w:t>
      </w:r>
    </w:p>
    <w:p w14:paraId="0F7236B7" w14:textId="77777777" w:rsidR="00787C48" w:rsidRDefault="00787C48" w:rsidP="00787C48">
      <w:pPr>
        <w:numPr>
          <w:ilvl w:val="0"/>
          <w:numId w:val="28"/>
        </w:numPr>
        <w:contextualSpacing/>
        <w:jc w:val="both"/>
      </w:pPr>
      <w:r>
        <w:lastRenderedPageBreak/>
        <w:t>DFBMU planning should involve all relevant stakeholders and consider, among other factors:</w:t>
      </w:r>
    </w:p>
    <w:p w14:paraId="2BA9B63D" w14:textId="6D7A80DE" w:rsidR="00787C48" w:rsidRPr="006543B1" w:rsidRDefault="00787C48" w:rsidP="00787C48">
      <w:pPr>
        <w:numPr>
          <w:ilvl w:val="1"/>
          <w:numId w:val="28"/>
        </w:numPr>
        <w:contextualSpacing/>
        <w:jc w:val="both"/>
      </w:pPr>
      <w:r>
        <w:t>the landscape</w:t>
      </w:r>
      <w:r w:rsidR="00C2302C">
        <w:t>-</w:t>
      </w:r>
      <w:r>
        <w:t>level hazard and risk of DFB outbreak</w:t>
      </w:r>
      <w:r w:rsidRPr="006543B1">
        <w:t xml:space="preserve">, </w:t>
      </w:r>
    </w:p>
    <w:p w14:paraId="28C11F00" w14:textId="77777777" w:rsidR="00787C48" w:rsidRPr="006543B1" w:rsidRDefault="00787C48" w:rsidP="00787C48">
      <w:pPr>
        <w:numPr>
          <w:ilvl w:val="1"/>
          <w:numId w:val="28"/>
        </w:numPr>
        <w:contextualSpacing/>
        <w:jc w:val="both"/>
      </w:pPr>
      <w:r w:rsidRPr="006543B1">
        <w:t xml:space="preserve">the season of the fire, </w:t>
      </w:r>
    </w:p>
    <w:p w14:paraId="13CEF880" w14:textId="77777777" w:rsidR="00787C48" w:rsidRPr="006543B1" w:rsidRDefault="00787C48" w:rsidP="00787C48">
      <w:pPr>
        <w:numPr>
          <w:ilvl w:val="1"/>
          <w:numId w:val="28"/>
        </w:numPr>
        <w:contextualSpacing/>
        <w:jc w:val="both"/>
      </w:pPr>
      <w:r w:rsidRPr="006543B1">
        <w:t xml:space="preserve">the severity of the fire, </w:t>
      </w:r>
    </w:p>
    <w:p w14:paraId="06201481" w14:textId="77777777" w:rsidR="00787C48" w:rsidRPr="006543B1" w:rsidRDefault="00787C48" w:rsidP="00787C48">
      <w:pPr>
        <w:numPr>
          <w:ilvl w:val="1"/>
          <w:numId w:val="28"/>
        </w:numPr>
        <w:contextualSpacing/>
        <w:jc w:val="both"/>
      </w:pPr>
      <w:r>
        <w:t>the size of the trees affected</w:t>
      </w:r>
      <w:r w:rsidRPr="006543B1">
        <w:t xml:space="preserve"> </w:t>
      </w:r>
      <w:r>
        <w:t>and</w:t>
      </w:r>
    </w:p>
    <w:p w14:paraId="17BF4FB7" w14:textId="77777777" w:rsidR="00787C48" w:rsidRDefault="00787C48" w:rsidP="00787C48">
      <w:pPr>
        <w:numPr>
          <w:ilvl w:val="1"/>
          <w:numId w:val="28"/>
        </w:numPr>
        <w:contextualSpacing/>
        <w:jc w:val="both"/>
      </w:pPr>
      <w:r>
        <w:t>whether special management areas (e.g., OGMA, UWR) or inoperable terrain are present.</w:t>
      </w:r>
    </w:p>
    <w:p w14:paraId="2161D176" w14:textId="77777777" w:rsidR="00787C48" w:rsidRDefault="00787C48" w:rsidP="00787C48">
      <w:pPr>
        <w:numPr>
          <w:ilvl w:val="0"/>
          <w:numId w:val="28"/>
        </w:numPr>
        <w:contextualSpacing/>
        <w:jc w:val="both"/>
      </w:pPr>
      <w:r>
        <w:t>At low levels of infestation, DFBMUs</w:t>
      </w:r>
      <w:r w:rsidRPr="006543B1">
        <w:t xml:space="preserve"> </w:t>
      </w:r>
      <w:r>
        <w:t>can be used to</w:t>
      </w:r>
      <w:r w:rsidRPr="006543B1">
        <w:t xml:space="preserve"> attempt to</w:t>
      </w:r>
      <w:r>
        <w:t xml:space="preserve"> protect specific values at the stand level (e.g., OGMA), by</w:t>
      </w:r>
      <w:r w:rsidRPr="006543B1">
        <w:t xml:space="preserve"> reduc</w:t>
      </w:r>
      <w:r>
        <w:t>ing</w:t>
      </w:r>
      <w:r w:rsidRPr="006543B1">
        <w:t xml:space="preserve"> the </w:t>
      </w:r>
      <w:r>
        <w:t xml:space="preserve">local (surrounding) risk </w:t>
      </w:r>
      <w:r w:rsidRPr="006543B1">
        <w:t xml:space="preserve">of </w:t>
      </w:r>
      <w:r>
        <w:t>DFB infestations.</w:t>
      </w:r>
    </w:p>
    <w:p w14:paraId="40AD5543" w14:textId="131BD57A" w:rsidR="00787C48" w:rsidRDefault="00787C48" w:rsidP="00787C48">
      <w:pPr>
        <w:numPr>
          <w:ilvl w:val="0"/>
          <w:numId w:val="28"/>
        </w:numPr>
        <w:contextualSpacing/>
        <w:jc w:val="both"/>
      </w:pPr>
      <w:r>
        <w:t xml:space="preserve">DFB </w:t>
      </w:r>
      <w:r w:rsidR="00851265">
        <w:t xml:space="preserve">logging </w:t>
      </w:r>
      <w:r>
        <w:t>should not occur in OGMAs. Exceptions should be strictly limited to:</w:t>
      </w:r>
    </w:p>
    <w:p w14:paraId="54ACCA6C" w14:textId="77777777" w:rsidR="00787C48" w:rsidRDefault="00787C48" w:rsidP="00787C48">
      <w:pPr>
        <w:numPr>
          <w:ilvl w:val="1"/>
          <w:numId w:val="28"/>
        </w:numPr>
        <w:contextualSpacing/>
        <w:jc w:val="both"/>
      </w:pPr>
      <w:r>
        <w:t>areas where there are relevant, strategic management goals and objectives set for OGMAs prior to DFB infestation, or</w:t>
      </w:r>
    </w:p>
    <w:p w14:paraId="03DE7E55" w14:textId="1F90FD60" w:rsidR="00787C48" w:rsidRDefault="00787C48" w:rsidP="00787C48">
      <w:pPr>
        <w:numPr>
          <w:ilvl w:val="1"/>
          <w:numId w:val="28"/>
        </w:numPr>
        <w:contextualSpacing/>
        <w:jc w:val="both"/>
      </w:pPr>
      <w:r>
        <w:t xml:space="preserve">the (rare) </w:t>
      </w:r>
      <w:r w:rsidR="00737634">
        <w:t xml:space="preserve">occurrence </w:t>
      </w:r>
      <w:r>
        <w:t>of exceptional, extenuating circumstances.</w:t>
      </w:r>
    </w:p>
    <w:p w14:paraId="09A14857" w14:textId="717D3E69" w:rsidR="00787C48" w:rsidRDefault="00787C48" w:rsidP="00787C48">
      <w:pPr>
        <w:numPr>
          <w:ilvl w:val="0"/>
          <w:numId w:val="28"/>
        </w:numPr>
        <w:contextualSpacing/>
        <w:jc w:val="both"/>
      </w:pPr>
      <w:r>
        <w:t xml:space="preserve">Integrating DFB management with retention guidance provided may result in conflicting objectives, particularly where ‘aggressive </w:t>
      </w:r>
      <w:r w:rsidR="00036209">
        <w:t>intervent</w:t>
      </w:r>
      <w:r w:rsidR="00737634">
        <w:t>i</w:t>
      </w:r>
      <w:r w:rsidR="00036209">
        <w:t xml:space="preserve">on’ </w:t>
      </w:r>
      <w:r>
        <w:t xml:space="preserve">strategies </w:t>
      </w:r>
      <w:r w:rsidR="00737634">
        <w:t xml:space="preserve">for DFB management </w:t>
      </w:r>
      <w:r>
        <w:t xml:space="preserve">are </w:t>
      </w:r>
      <w:r w:rsidR="00916126">
        <w:t>used</w:t>
      </w:r>
      <w:r>
        <w:t xml:space="preserve">. To </w:t>
      </w:r>
      <w:r w:rsidR="00BF0232">
        <w:t xml:space="preserve">help </w:t>
      </w:r>
      <w:r w:rsidR="00737634">
        <w:t>reconcile conflicting objectives,</w:t>
      </w:r>
      <w:r>
        <w:t xml:space="preserve"> practitioners should plan DFB management strategies while considering the role of retention in ecosystem resilience and recovery:</w:t>
      </w:r>
    </w:p>
    <w:p w14:paraId="765D11D1" w14:textId="77777777" w:rsidR="002D765A" w:rsidRDefault="002D765A" w:rsidP="00787C48">
      <w:pPr>
        <w:numPr>
          <w:ilvl w:val="1"/>
          <w:numId w:val="28"/>
        </w:numPr>
        <w:contextualSpacing/>
        <w:jc w:val="both"/>
      </w:pPr>
      <w:r>
        <w:t>focus DFB management in existing, developed areas to minimize new road construction;</w:t>
      </w:r>
    </w:p>
    <w:p w14:paraId="0B60F3B2" w14:textId="58B63DC2" w:rsidR="00787C48" w:rsidRDefault="00787C48" w:rsidP="00787C48">
      <w:pPr>
        <w:numPr>
          <w:ilvl w:val="1"/>
          <w:numId w:val="28"/>
        </w:numPr>
        <w:contextualSpacing/>
        <w:jc w:val="both"/>
      </w:pPr>
      <w:r>
        <w:t xml:space="preserve">use partial cutting </w:t>
      </w:r>
      <w:r w:rsidR="00036209">
        <w:t xml:space="preserve">systems </w:t>
      </w:r>
      <w:r>
        <w:t>wherever possible</w:t>
      </w:r>
      <w:r w:rsidR="002D765A">
        <w:t xml:space="preserve"> and</w:t>
      </w:r>
    </w:p>
    <w:p w14:paraId="04C29C8B" w14:textId="3357BB72" w:rsidR="00787C48" w:rsidRDefault="002D765A" w:rsidP="00C37BFA">
      <w:pPr>
        <w:numPr>
          <w:ilvl w:val="1"/>
          <w:numId w:val="28"/>
        </w:numPr>
        <w:contextualSpacing/>
        <w:jc w:val="both"/>
      </w:pPr>
      <w:r>
        <w:t>where clear cut silvicultural systems are used for DFB sanitation, design cut blocks to encompass areas where at least 70% of the timber volume has been killed by wildfire</w:t>
      </w:r>
      <w:r w:rsidR="003871CA">
        <w:t>.</w:t>
      </w:r>
      <w:r w:rsidR="00787C48">
        <w:t xml:space="preserve"> </w:t>
      </w:r>
    </w:p>
    <w:p w14:paraId="4C5391E8" w14:textId="5ABB98FA" w:rsidR="00CD5C9A" w:rsidRDefault="00BE62E0" w:rsidP="00543289">
      <w:pPr>
        <w:pStyle w:val="Heading2"/>
      </w:pPr>
      <w:bookmarkStart w:id="20" w:name="_Toc503934742"/>
      <w:r>
        <w:t>Guidance</w:t>
      </w:r>
      <w:r w:rsidR="00543289">
        <w:t xml:space="preserve"> for </w:t>
      </w:r>
      <w:r w:rsidR="00267EC5">
        <w:t>s</w:t>
      </w:r>
      <w:r w:rsidR="00CD5C9A">
        <w:t>oil</w:t>
      </w:r>
      <w:r w:rsidR="001B53C4">
        <w:t xml:space="preserve"> conservation</w:t>
      </w:r>
      <w:bookmarkEnd w:id="20"/>
    </w:p>
    <w:p w14:paraId="3CCA2D5A" w14:textId="6F58FA6D" w:rsidR="009D2B41" w:rsidRDefault="00FD232F" w:rsidP="00BB1EB9">
      <w:pPr>
        <w:pStyle w:val="ListParagraph"/>
        <w:numPr>
          <w:ilvl w:val="0"/>
          <w:numId w:val="49"/>
        </w:numPr>
        <w:jc w:val="both"/>
      </w:pPr>
      <w:r>
        <w:t>To address the</w:t>
      </w:r>
      <w:r w:rsidR="009D2B41">
        <w:t xml:space="preserve"> potential sensitivity of soils in burnt areas</w:t>
      </w:r>
      <w:r>
        <w:t xml:space="preserve"> to erosion</w:t>
      </w:r>
      <w:r w:rsidR="00304964">
        <w:t xml:space="preserve"> and compaction</w:t>
      </w:r>
      <w:r>
        <w:t>,</w:t>
      </w:r>
      <w:r w:rsidR="009D2B41">
        <w:t xml:space="preserve"> and concerns over terrain stability</w:t>
      </w:r>
      <w:r>
        <w:t>,</w:t>
      </w:r>
      <w:r w:rsidR="00916126">
        <w:t xml:space="preserve"> ensure that logging</w:t>
      </w:r>
      <w:r w:rsidR="009D2B41">
        <w:t xml:space="preserve"> will adh</w:t>
      </w:r>
      <w:r w:rsidR="006A78F4">
        <w:t>ere to all practice requirements</w:t>
      </w:r>
      <w:r w:rsidR="00C72054">
        <w:t xml:space="preserve"> or results and strategies in </w:t>
      </w:r>
      <w:r w:rsidR="00C2302C">
        <w:t>Forest Stewardship Plans (</w:t>
      </w:r>
      <w:r w:rsidR="00C72054">
        <w:t>FSP</w:t>
      </w:r>
      <w:r w:rsidR="00C2302C">
        <w:t>s)</w:t>
      </w:r>
      <w:r w:rsidR="00C72054">
        <w:t>, where appropriate</w:t>
      </w:r>
      <w:r w:rsidR="00A87442">
        <w:t>; in particular</w:t>
      </w:r>
      <w:r>
        <w:t>,</w:t>
      </w:r>
      <w:r w:rsidR="00A87442">
        <w:t xml:space="preserve"> those related to</w:t>
      </w:r>
      <w:r w:rsidR="006A78F4">
        <w:t xml:space="preserve"> </w:t>
      </w:r>
      <w:r w:rsidR="009D2B41">
        <w:t>soil disturbance (</w:t>
      </w:r>
      <w:r w:rsidR="00DC1FEE">
        <w:rPr>
          <w:i/>
        </w:rPr>
        <w:t>Forest Planning and Practices Regulation</w:t>
      </w:r>
      <w:r w:rsidR="00DC1FEE">
        <w:t xml:space="preserve"> [</w:t>
      </w:r>
      <w:r w:rsidR="004F6408">
        <w:t>FPPR</w:t>
      </w:r>
      <w:r w:rsidR="00DC1FEE">
        <w:t>]</w:t>
      </w:r>
      <w:r w:rsidR="004F6408">
        <w:t xml:space="preserve"> </w:t>
      </w:r>
      <w:r w:rsidR="009D2B41">
        <w:t>section 35) and site</w:t>
      </w:r>
      <w:r w:rsidR="00C2302C">
        <w:t>-</w:t>
      </w:r>
      <w:r w:rsidR="009D2B41">
        <w:t>specific terrain stability (</w:t>
      </w:r>
      <w:r w:rsidR="004F6408">
        <w:t xml:space="preserve">FPPR </w:t>
      </w:r>
      <w:r w:rsidR="00C2302C">
        <w:t>S</w:t>
      </w:r>
      <w:r w:rsidR="009D2B41">
        <w:t xml:space="preserve">ections 37 and 38). </w:t>
      </w:r>
    </w:p>
    <w:p w14:paraId="11DBE9C9" w14:textId="6B65150A" w:rsidR="00A87442" w:rsidRDefault="00CE37E0" w:rsidP="00BB1EB9">
      <w:pPr>
        <w:pStyle w:val="ListParagraph"/>
        <w:numPr>
          <w:ilvl w:val="0"/>
          <w:numId w:val="49"/>
        </w:numPr>
        <w:jc w:val="both"/>
      </w:pPr>
      <w:r>
        <w:t>Site</w:t>
      </w:r>
      <w:r w:rsidR="00C2302C">
        <w:t>-</w:t>
      </w:r>
      <w:r>
        <w:t>level assessments of the sensitivity of soils to salvage logging must be conducted. Suitable assessment methods are available.</w:t>
      </w:r>
      <w:r w:rsidR="003830ED">
        <w:rPr>
          <w:rStyle w:val="FootnoteReference"/>
        </w:rPr>
        <w:footnoteReference w:id="13"/>
      </w:r>
      <w:r w:rsidR="003830ED" w:rsidRPr="003830ED">
        <w:rPr>
          <w:vertAlign w:val="superscript"/>
        </w:rPr>
        <w:t>,</w:t>
      </w:r>
      <w:r w:rsidR="003830ED">
        <w:rPr>
          <w:rStyle w:val="FootnoteReference"/>
        </w:rPr>
        <w:footnoteReference w:id="14"/>
      </w:r>
      <w:r w:rsidR="003830ED">
        <w:t xml:space="preserve"> </w:t>
      </w:r>
    </w:p>
    <w:p w14:paraId="0F84FA18" w14:textId="3B0D7329" w:rsidR="006A78F4" w:rsidRPr="00EF0B95" w:rsidRDefault="00916126" w:rsidP="00BB1EB9">
      <w:pPr>
        <w:pStyle w:val="ListParagraph"/>
        <w:numPr>
          <w:ilvl w:val="0"/>
          <w:numId w:val="49"/>
        </w:numPr>
        <w:jc w:val="both"/>
      </w:pPr>
      <w:r>
        <w:rPr>
          <w:bCs/>
          <w:color w:val="212121"/>
          <w:lang w:eastAsia="en-CA"/>
        </w:rPr>
        <w:t>Logging</w:t>
      </w:r>
      <w:r w:rsidR="009D2B41" w:rsidRPr="00BB1EB9">
        <w:rPr>
          <w:bCs/>
          <w:color w:val="212121"/>
          <w:lang w:eastAsia="en-CA"/>
        </w:rPr>
        <w:t xml:space="preserve"> practices that limit disturbance in burn</w:t>
      </w:r>
      <w:r w:rsidR="008709C1">
        <w:rPr>
          <w:bCs/>
          <w:color w:val="212121"/>
          <w:lang w:eastAsia="en-CA"/>
        </w:rPr>
        <w:t>t</w:t>
      </w:r>
      <w:r w:rsidR="009D2B41" w:rsidRPr="00BB1EB9">
        <w:rPr>
          <w:bCs/>
          <w:color w:val="212121"/>
          <w:lang w:eastAsia="en-CA"/>
        </w:rPr>
        <w:t xml:space="preserve"> areas, particularly in severely burn</w:t>
      </w:r>
      <w:r w:rsidR="008709C1">
        <w:rPr>
          <w:bCs/>
          <w:color w:val="212121"/>
          <w:lang w:eastAsia="en-CA"/>
        </w:rPr>
        <w:t>t</w:t>
      </w:r>
      <w:r w:rsidR="009D2B41" w:rsidRPr="00BB1EB9">
        <w:rPr>
          <w:bCs/>
          <w:color w:val="212121"/>
          <w:lang w:eastAsia="en-CA"/>
        </w:rPr>
        <w:t xml:space="preserve"> areas, must be used</w:t>
      </w:r>
      <w:r w:rsidR="00C2302C">
        <w:rPr>
          <w:bCs/>
          <w:color w:val="212121"/>
          <w:lang w:eastAsia="en-CA"/>
        </w:rPr>
        <w:t xml:space="preserve"> (</w:t>
      </w:r>
      <w:r w:rsidR="00614707" w:rsidRPr="00EF0B95">
        <w:rPr>
          <w:bCs/>
          <w:color w:val="212121"/>
          <w:lang w:eastAsia="en-CA"/>
        </w:rPr>
        <w:t>e.g.,</w:t>
      </w:r>
      <w:r w:rsidR="00EF0B95">
        <w:rPr>
          <w:bCs/>
          <w:color w:val="212121"/>
          <w:lang w:eastAsia="en-CA"/>
        </w:rPr>
        <w:t xml:space="preserve"> </w:t>
      </w:r>
      <w:r w:rsidR="00614707" w:rsidRPr="00EF0B95">
        <w:rPr>
          <w:bCs/>
          <w:color w:val="212121"/>
          <w:lang w:eastAsia="en-CA"/>
        </w:rPr>
        <w:t>w</w:t>
      </w:r>
      <w:r w:rsidR="00D66C0B" w:rsidRPr="00EF0B95">
        <w:rPr>
          <w:bCs/>
          <w:color w:val="212121"/>
          <w:lang w:eastAsia="en-CA"/>
        </w:rPr>
        <w:t>inter salvage logging on snow</w:t>
      </w:r>
      <w:r w:rsidR="00C2302C">
        <w:rPr>
          <w:bCs/>
          <w:color w:val="212121"/>
          <w:lang w:eastAsia="en-CA"/>
        </w:rPr>
        <w:t>)</w:t>
      </w:r>
      <w:r w:rsidR="00614707" w:rsidRPr="00EF0B95">
        <w:rPr>
          <w:bCs/>
          <w:color w:val="212121"/>
          <w:lang w:eastAsia="en-CA"/>
        </w:rPr>
        <w:t>.</w:t>
      </w:r>
    </w:p>
    <w:p w14:paraId="7FAE01EF" w14:textId="4B329EAC" w:rsidR="00A87442" w:rsidRPr="0094157D" w:rsidRDefault="009D2B41" w:rsidP="00BB1EB9">
      <w:pPr>
        <w:pStyle w:val="ListParagraph"/>
        <w:numPr>
          <w:ilvl w:val="0"/>
          <w:numId w:val="49"/>
        </w:numPr>
        <w:jc w:val="both"/>
      </w:pPr>
      <w:r w:rsidRPr="00BB1EB9">
        <w:rPr>
          <w:color w:val="212121"/>
          <w:lang w:eastAsia="en-CA"/>
        </w:rPr>
        <w:t>Avoid mechanical disturbance to prevent erosion</w:t>
      </w:r>
      <w:r w:rsidR="00BE5D8A">
        <w:rPr>
          <w:color w:val="212121"/>
          <w:lang w:eastAsia="en-CA"/>
        </w:rPr>
        <w:t xml:space="preserve"> and to </w:t>
      </w:r>
      <w:r w:rsidR="00FD232F">
        <w:rPr>
          <w:color w:val="212121"/>
          <w:lang w:eastAsia="en-CA"/>
        </w:rPr>
        <w:t>reduce the potential for</w:t>
      </w:r>
      <w:r w:rsidRPr="00BB1EB9">
        <w:rPr>
          <w:color w:val="212121"/>
          <w:lang w:eastAsia="en-CA"/>
        </w:rPr>
        <w:t xml:space="preserve"> encroachment by invasive plants</w:t>
      </w:r>
      <w:r w:rsidR="00BE5D8A">
        <w:rPr>
          <w:color w:val="212121"/>
          <w:lang w:eastAsia="en-CA"/>
        </w:rPr>
        <w:t xml:space="preserve"> and allow natural regeneration of trees, shrubs, forbs, and graminoids</w:t>
      </w:r>
      <w:r w:rsidRPr="00BB1EB9">
        <w:rPr>
          <w:color w:val="212121"/>
          <w:lang w:eastAsia="en-CA"/>
        </w:rPr>
        <w:t>.</w:t>
      </w:r>
    </w:p>
    <w:p w14:paraId="40362718" w14:textId="057C5EC9" w:rsidR="00787C48" w:rsidRPr="00794007" w:rsidRDefault="00A87442" w:rsidP="00794007">
      <w:pPr>
        <w:pStyle w:val="ListParagraph"/>
        <w:numPr>
          <w:ilvl w:val="0"/>
          <w:numId w:val="49"/>
        </w:numPr>
        <w:jc w:val="both"/>
        <w:rPr>
          <w:rFonts w:asciiTheme="majorHAnsi" w:eastAsia="Times New Roman" w:hAnsiTheme="majorHAnsi" w:cstheme="majorBidi"/>
          <w:color w:val="2E74B5" w:themeColor="accent1" w:themeShade="BF"/>
          <w:sz w:val="26"/>
          <w:szCs w:val="26"/>
          <w:lang w:eastAsia="en-CA"/>
        </w:rPr>
      </w:pPr>
      <w:r w:rsidRPr="00794007">
        <w:rPr>
          <w:color w:val="212121"/>
          <w:lang w:eastAsia="en-CA"/>
        </w:rPr>
        <w:t xml:space="preserve">The guidance provided for soil conservation during </w:t>
      </w:r>
      <w:r w:rsidR="00851265" w:rsidRPr="00794007">
        <w:rPr>
          <w:color w:val="212121"/>
          <w:lang w:eastAsia="en-CA"/>
        </w:rPr>
        <w:t xml:space="preserve">salvage logging </w:t>
      </w:r>
      <w:r w:rsidRPr="00794007">
        <w:rPr>
          <w:color w:val="212121"/>
          <w:lang w:eastAsia="en-CA"/>
        </w:rPr>
        <w:t>in areas affected by mountain pine beetle could be used as a basis for more detailed practices.</w:t>
      </w:r>
      <w:r w:rsidR="003830ED">
        <w:rPr>
          <w:rStyle w:val="FootnoteReference"/>
          <w:color w:val="212121"/>
          <w:lang w:eastAsia="en-CA"/>
        </w:rPr>
        <w:footnoteReference w:id="15"/>
      </w:r>
      <w:r w:rsidR="00C2302C" w:rsidRPr="00C2302C">
        <w:t xml:space="preserve"> </w:t>
      </w:r>
    </w:p>
    <w:p w14:paraId="137A0902" w14:textId="5A0656A0" w:rsidR="00543289" w:rsidRDefault="00BE62E0" w:rsidP="004579CF">
      <w:pPr>
        <w:pStyle w:val="Heading2"/>
        <w:rPr>
          <w:rFonts w:eastAsia="Times New Roman"/>
          <w:lang w:eastAsia="en-CA"/>
        </w:rPr>
      </w:pPr>
      <w:bookmarkStart w:id="21" w:name="_Toc503934743"/>
      <w:r>
        <w:rPr>
          <w:rFonts w:eastAsia="Times New Roman"/>
          <w:lang w:eastAsia="en-CA"/>
        </w:rPr>
        <w:lastRenderedPageBreak/>
        <w:t>Guidance</w:t>
      </w:r>
      <w:r w:rsidR="00543289">
        <w:rPr>
          <w:rFonts w:eastAsia="Times New Roman"/>
          <w:lang w:eastAsia="en-CA"/>
        </w:rPr>
        <w:t xml:space="preserve"> for </w:t>
      </w:r>
      <w:r w:rsidR="00267EC5">
        <w:rPr>
          <w:rFonts w:eastAsia="Times New Roman"/>
          <w:lang w:eastAsia="en-CA"/>
        </w:rPr>
        <w:t>riparian management</w:t>
      </w:r>
      <w:bookmarkEnd w:id="21"/>
      <w:r w:rsidR="00267EC5">
        <w:rPr>
          <w:rFonts w:eastAsia="Times New Roman"/>
          <w:lang w:eastAsia="en-CA"/>
        </w:rPr>
        <w:t xml:space="preserve"> </w:t>
      </w:r>
    </w:p>
    <w:p w14:paraId="7B40BBB7" w14:textId="58EF295A" w:rsidR="00673604" w:rsidRDefault="00EF0B95" w:rsidP="00673604">
      <w:pPr>
        <w:pStyle w:val="ListParagraph"/>
        <w:numPr>
          <w:ilvl w:val="0"/>
          <w:numId w:val="49"/>
        </w:numPr>
        <w:jc w:val="both"/>
      </w:pPr>
      <w:r>
        <w:rPr>
          <w:rFonts w:eastAsia="Times New Roman" w:cstheme="minorHAnsi"/>
          <w:lang w:eastAsia="en-CA"/>
        </w:rPr>
        <w:t xml:space="preserve">Avoid </w:t>
      </w:r>
      <w:r w:rsidR="009D2B41" w:rsidRPr="00673604">
        <w:rPr>
          <w:rFonts w:eastAsia="Times New Roman" w:cstheme="minorHAnsi"/>
          <w:lang w:eastAsia="en-CA"/>
        </w:rPr>
        <w:t xml:space="preserve">salvage </w:t>
      </w:r>
      <w:r w:rsidR="00916126">
        <w:rPr>
          <w:rFonts w:eastAsia="Times New Roman" w:cstheme="minorHAnsi"/>
          <w:lang w:eastAsia="en-CA"/>
        </w:rPr>
        <w:t>log</w:t>
      </w:r>
      <w:r>
        <w:rPr>
          <w:rFonts w:eastAsia="Times New Roman" w:cstheme="minorHAnsi"/>
          <w:lang w:eastAsia="en-CA"/>
        </w:rPr>
        <w:t>ging</w:t>
      </w:r>
      <w:r w:rsidR="009D2B41" w:rsidRPr="00673604">
        <w:rPr>
          <w:rFonts w:eastAsia="Times New Roman" w:cstheme="minorHAnsi"/>
          <w:lang w:eastAsia="en-CA"/>
        </w:rPr>
        <w:t xml:space="preserve"> in the Riparian Reserve Zone </w:t>
      </w:r>
      <w:r w:rsidR="00DE4123">
        <w:rPr>
          <w:rFonts w:eastAsia="Times New Roman" w:cstheme="minorHAnsi"/>
          <w:lang w:eastAsia="en-CA"/>
        </w:rPr>
        <w:t>(</w:t>
      </w:r>
      <w:r w:rsidR="009D2B41" w:rsidRPr="00673604">
        <w:rPr>
          <w:rFonts w:eastAsia="Times New Roman" w:cstheme="minorHAnsi"/>
          <w:lang w:eastAsia="en-CA"/>
        </w:rPr>
        <w:t>i.e.</w:t>
      </w:r>
      <w:r>
        <w:rPr>
          <w:rFonts w:eastAsia="Times New Roman" w:cstheme="minorHAnsi"/>
          <w:lang w:eastAsia="en-CA"/>
        </w:rPr>
        <w:t>, the</w:t>
      </w:r>
      <w:r w:rsidR="009D2B41" w:rsidRPr="00673604">
        <w:rPr>
          <w:rFonts w:eastAsia="Times New Roman" w:cstheme="minorHAnsi"/>
          <w:lang w:eastAsia="en-CA"/>
        </w:rPr>
        <w:t xml:space="preserve"> </w:t>
      </w:r>
      <w:r w:rsidR="00D66C0B">
        <w:rPr>
          <w:rFonts w:eastAsia="Times New Roman" w:cstheme="minorHAnsi"/>
          <w:lang w:eastAsia="en-CA"/>
        </w:rPr>
        <w:t xml:space="preserve">preference is to </w:t>
      </w:r>
      <w:r w:rsidR="009D2B41" w:rsidRPr="00673604">
        <w:rPr>
          <w:rFonts w:eastAsia="Times New Roman" w:cstheme="minorHAnsi"/>
          <w:lang w:eastAsia="en-CA"/>
        </w:rPr>
        <w:t>not invoke Section 51 (1</w:t>
      </w:r>
      <w:proofErr w:type="gramStart"/>
      <w:r w:rsidR="009D2B41" w:rsidRPr="00673604">
        <w:rPr>
          <w:rFonts w:eastAsia="Times New Roman" w:cstheme="minorHAnsi"/>
          <w:lang w:eastAsia="en-CA"/>
        </w:rPr>
        <w:t>)(</w:t>
      </w:r>
      <w:proofErr w:type="gramEnd"/>
      <w:r w:rsidR="009D2B41" w:rsidRPr="00673604">
        <w:rPr>
          <w:rFonts w:eastAsia="Times New Roman" w:cstheme="minorHAnsi"/>
          <w:lang w:eastAsia="en-CA"/>
        </w:rPr>
        <w:t>g) of the FPPR</w:t>
      </w:r>
      <w:r w:rsidR="00DE4123">
        <w:rPr>
          <w:rFonts w:eastAsia="Times New Roman" w:cstheme="minorHAnsi"/>
          <w:lang w:eastAsia="en-CA"/>
        </w:rPr>
        <w:t>).</w:t>
      </w:r>
      <w:r w:rsidR="009D2B41" w:rsidRPr="00673604">
        <w:rPr>
          <w:rFonts w:eastAsia="Times New Roman" w:cstheme="minorHAnsi"/>
          <w:lang w:eastAsia="en-CA"/>
        </w:rPr>
        <w:t xml:space="preserve"> </w:t>
      </w:r>
    </w:p>
    <w:p w14:paraId="3FA6F955" w14:textId="0F4D09BB" w:rsidR="009D2B41" w:rsidRPr="00673604" w:rsidRDefault="00D66C0B" w:rsidP="009D2B41">
      <w:pPr>
        <w:pStyle w:val="ListParagraph"/>
        <w:numPr>
          <w:ilvl w:val="0"/>
          <w:numId w:val="21"/>
        </w:numPr>
        <w:spacing w:before="100" w:beforeAutospacing="1" w:after="100" w:afterAutospacing="1" w:line="240" w:lineRule="auto"/>
        <w:jc w:val="both"/>
        <w:rPr>
          <w:rFonts w:eastAsia="Times New Roman" w:cstheme="minorHAnsi"/>
          <w:lang w:eastAsia="en-CA"/>
        </w:rPr>
      </w:pPr>
      <w:r>
        <w:rPr>
          <w:rFonts w:eastAsia="Times New Roman" w:cstheme="minorHAnsi"/>
          <w:lang w:eastAsia="en-CA"/>
        </w:rPr>
        <w:t>Avoid</w:t>
      </w:r>
      <w:r w:rsidR="00500CFB">
        <w:rPr>
          <w:rFonts w:eastAsia="Times New Roman" w:cstheme="minorHAnsi"/>
          <w:lang w:eastAsia="en-CA"/>
        </w:rPr>
        <w:t xml:space="preserve"> salvage </w:t>
      </w:r>
      <w:r w:rsidR="00916126">
        <w:rPr>
          <w:rFonts w:eastAsia="Times New Roman" w:cstheme="minorHAnsi"/>
          <w:lang w:eastAsia="en-CA"/>
        </w:rPr>
        <w:t>log</w:t>
      </w:r>
      <w:r w:rsidR="0089496A">
        <w:rPr>
          <w:rFonts w:eastAsia="Times New Roman" w:cstheme="minorHAnsi"/>
          <w:lang w:eastAsia="en-CA"/>
        </w:rPr>
        <w:t>ging</w:t>
      </w:r>
      <w:r w:rsidR="00500CFB">
        <w:rPr>
          <w:rFonts w:eastAsia="Times New Roman" w:cstheme="minorHAnsi"/>
          <w:lang w:eastAsia="en-CA"/>
        </w:rPr>
        <w:t xml:space="preserve"> in </w:t>
      </w:r>
      <w:r w:rsidR="009D2B41" w:rsidRPr="00673604">
        <w:rPr>
          <w:rFonts w:eastAsia="Times New Roman" w:cstheme="minorHAnsi"/>
          <w:lang w:eastAsia="en-CA"/>
        </w:rPr>
        <w:t>Riparian Management Area</w:t>
      </w:r>
      <w:r w:rsidR="00500CFB">
        <w:rPr>
          <w:rFonts w:eastAsia="Times New Roman" w:cstheme="minorHAnsi"/>
          <w:lang w:eastAsia="en-CA"/>
        </w:rPr>
        <w:t>s</w:t>
      </w:r>
      <w:r w:rsidR="0003313C">
        <w:rPr>
          <w:rFonts w:eastAsia="Times New Roman" w:cstheme="minorHAnsi"/>
          <w:lang w:eastAsia="en-CA"/>
        </w:rPr>
        <w:t xml:space="preserve"> (RMAs)</w:t>
      </w:r>
      <w:r w:rsidR="009D2B41" w:rsidRPr="00673604">
        <w:rPr>
          <w:rFonts w:eastAsia="Times New Roman" w:cstheme="minorHAnsi"/>
          <w:lang w:eastAsia="en-CA"/>
        </w:rPr>
        <w:t>;</w:t>
      </w:r>
      <w:r w:rsidR="00500CFB">
        <w:rPr>
          <w:rFonts w:eastAsia="Times New Roman" w:cstheme="minorHAnsi"/>
          <w:lang w:eastAsia="en-CA"/>
        </w:rPr>
        <w:t xml:space="preserve"> except for rare situations in which salvag</w:t>
      </w:r>
      <w:r w:rsidR="0089496A">
        <w:rPr>
          <w:rFonts w:eastAsia="Times New Roman" w:cstheme="minorHAnsi"/>
          <w:lang w:eastAsia="en-CA"/>
        </w:rPr>
        <w:t>ing</w:t>
      </w:r>
      <w:r w:rsidR="00500CFB">
        <w:rPr>
          <w:rFonts w:eastAsia="Times New Roman" w:cstheme="minorHAnsi"/>
          <w:lang w:eastAsia="en-CA"/>
        </w:rPr>
        <w:t xml:space="preserve"> will </w:t>
      </w:r>
      <w:r>
        <w:rPr>
          <w:rFonts w:eastAsia="Times New Roman" w:cstheme="minorHAnsi"/>
          <w:lang w:eastAsia="en-CA"/>
        </w:rPr>
        <w:t xml:space="preserve">reduce impacts to </w:t>
      </w:r>
      <w:r w:rsidR="0003313C">
        <w:rPr>
          <w:rFonts w:eastAsia="Times New Roman" w:cstheme="minorHAnsi"/>
          <w:lang w:eastAsia="en-CA"/>
        </w:rPr>
        <w:t xml:space="preserve">the overall quality of the RMA for </w:t>
      </w:r>
      <w:r w:rsidR="00500CFB">
        <w:rPr>
          <w:rFonts w:eastAsia="Times New Roman" w:cstheme="minorHAnsi"/>
          <w:lang w:eastAsia="en-CA"/>
        </w:rPr>
        <w:t xml:space="preserve">values </w:t>
      </w:r>
      <w:r w:rsidR="0003313C">
        <w:rPr>
          <w:rFonts w:eastAsia="Times New Roman" w:cstheme="minorHAnsi"/>
          <w:lang w:eastAsia="en-CA"/>
        </w:rPr>
        <w:t xml:space="preserve">such as </w:t>
      </w:r>
      <w:r w:rsidR="00500CFB">
        <w:rPr>
          <w:rFonts w:eastAsia="Times New Roman" w:cstheme="minorHAnsi"/>
          <w:lang w:eastAsia="en-CA"/>
        </w:rPr>
        <w:t xml:space="preserve">water quality </w:t>
      </w:r>
      <w:r w:rsidR="0003313C">
        <w:rPr>
          <w:rFonts w:eastAsia="Times New Roman" w:cstheme="minorHAnsi"/>
          <w:lang w:eastAsia="en-CA"/>
        </w:rPr>
        <w:t xml:space="preserve">and aquatic </w:t>
      </w:r>
      <w:r w:rsidR="00500CFB">
        <w:rPr>
          <w:rFonts w:eastAsia="Times New Roman" w:cstheme="minorHAnsi"/>
          <w:lang w:eastAsia="en-CA"/>
        </w:rPr>
        <w:t>habitat, in which case the following practices are appropriate:</w:t>
      </w:r>
    </w:p>
    <w:p w14:paraId="03B800DB" w14:textId="197B1411" w:rsidR="009D2B41" w:rsidRPr="00C6344D" w:rsidRDefault="00B60F15" w:rsidP="003830ED">
      <w:pPr>
        <w:pStyle w:val="ListParagraph"/>
        <w:numPr>
          <w:ilvl w:val="1"/>
          <w:numId w:val="21"/>
        </w:numPr>
        <w:spacing w:before="100" w:beforeAutospacing="1" w:after="100" w:afterAutospacing="1" w:line="240" w:lineRule="auto"/>
        <w:ind w:left="720"/>
        <w:jc w:val="both"/>
        <w:rPr>
          <w:rFonts w:eastAsia="Times New Roman" w:cstheme="minorHAnsi"/>
          <w:lang w:eastAsia="en-CA"/>
        </w:rPr>
      </w:pPr>
      <w:r>
        <w:rPr>
          <w:rFonts w:eastAsia="Times New Roman" w:cstheme="minorHAnsi"/>
          <w:lang w:eastAsia="en-CA"/>
        </w:rPr>
        <w:t>where</w:t>
      </w:r>
      <w:r w:rsidR="00C72054">
        <w:rPr>
          <w:rFonts w:eastAsia="Times New Roman" w:cstheme="minorHAnsi"/>
          <w:lang w:eastAsia="en-CA"/>
        </w:rPr>
        <w:t xml:space="preserve"> </w:t>
      </w:r>
      <w:r w:rsidR="009D2B41">
        <w:rPr>
          <w:rFonts w:eastAsia="Times New Roman" w:cstheme="minorHAnsi"/>
          <w:lang w:eastAsia="en-CA"/>
        </w:rPr>
        <w:t xml:space="preserve">salvage </w:t>
      </w:r>
      <w:r w:rsidR="00916126">
        <w:rPr>
          <w:rFonts w:eastAsia="Times New Roman" w:cstheme="minorHAnsi"/>
          <w:lang w:eastAsia="en-CA"/>
        </w:rPr>
        <w:t>logging</w:t>
      </w:r>
      <w:r w:rsidR="009D2B41">
        <w:rPr>
          <w:rFonts w:eastAsia="Times New Roman" w:cstheme="minorHAnsi"/>
          <w:lang w:eastAsia="en-CA"/>
        </w:rPr>
        <w:t xml:space="preserve"> is conducted, the </w:t>
      </w:r>
      <w:r w:rsidR="009D2B41" w:rsidRPr="00C6344D">
        <w:rPr>
          <w:rFonts w:eastAsia="Times New Roman" w:cstheme="minorHAnsi"/>
          <w:lang w:eastAsia="en-CA"/>
        </w:rPr>
        <w:t xml:space="preserve">timing and methods </w:t>
      </w:r>
      <w:r w:rsidR="00916126">
        <w:rPr>
          <w:rFonts w:eastAsia="Times New Roman" w:cstheme="minorHAnsi"/>
          <w:lang w:eastAsia="en-CA"/>
        </w:rPr>
        <w:t xml:space="preserve">of logging </w:t>
      </w:r>
      <w:r w:rsidR="009D2B41" w:rsidRPr="00C6344D">
        <w:rPr>
          <w:rFonts w:eastAsia="Times New Roman" w:cstheme="minorHAnsi"/>
          <w:lang w:eastAsia="en-CA"/>
        </w:rPr>
        <w:t xml:space="preserve">should be selected so as to </w:t>
      </w:r>
      <w:r w:rsidR="00D66C0B">
        <w:rPr>
          <w:rFonts w:eastAsia="Times New Roman" w:cstheme="minorHAnsi"/>
          <w:lang w:eastAsia="en-CA"/>
        </w:rPr>
        <w:t>minimize</w:t>
      </w:r>
      <w:r w:rsidR="009D2B41" w:rsidRPr="00C6344D">
        <w:rPr>
          <w:rFonts w:eastAsia="Times New Roman" w:cstheme="minorHAnsi"/>
          <w:lang w:eastAsia="en-CA"/>
        </w:rPr>
        <w:t xml:space="preserve"> sediment</w:t>
      </w:r>
      <w:r w:rsidR="00D66C0B">
        <w:rPr>
          <w:rFonts w:eastAsia="Times New Roman" w:cstheme="minorHAnsi"/>
          <w:lang w:eastAsia="en-CA"/>
        </w:rPr>
        <w:t>ation</w:t>
      </w:r>
      <w:r w:rsidR="009D2B41" w:rsidRPr="00C6344D">
        <w:rPr>
          <w:rFonts w:eastAsia="Times New Roman" w:cstheme="minorHAnsi"/>
          <w:lang w:eastAsia="en-CA"/>
        </w:rPr>
        <w:t xml:space="preserve"> to any waterbody</w:t>
      </w:r>
      <w:r w:rsidR="009D2B41">
        <w:rPr>
          <w:rFonts w:eastAsia="Times New Roman" w:cstheme="minorHAnsi"/>
          <w:lang w:eastAsia="en-CA"/>
        </w:rPr>
        <w:t xml:space="preserve">; generally, winter </w:t>
      </w:r>
      <w:r w:rsidR="00851265">
        <w:rPr>
          <w:rFonts w:eastAsia="Times New Roman" w:cstheme="minorHAnsi"/>
          <w:lang w:eastAsia="en-CA"/>
        </w:rPr>
        <w:t xml:space="preserve">logging </w:t>
      </w:r>
      <w:r w:rsidR="009D2B41">
        <w:rPr>
          <w:rFonts w:eastAsia="Times New Roman" w:cstheme="minorHAnsi"/>
          <w:lang w:eastAsia="en-CA"/>
        </w:rPr>
        <w:t>over frozen, snow covered soils is required; and</w:t>
      </w:r>
    </w:p>
    <w:p w14:paraId="45059645" w14:textId="21BD8E72" w:rsidR="009D2B41" w:rsidRDefault="00B60F15" w:rsidP="001B0DBA">
      <w:pPr>
        <w:pStyle w:val="ListParagraph"/>
        <w:numPr>
          <w:ilvl w:val="1"/>
          <w:numId w:val="21"/>
        </w:numPr>
        <w:spacing w:before="100" w:beforeAutospacing="1" w:after="120" w:line="240" w:lineRule="auto"/>
        <w:ind w:left="714" w:hanging="357"/>
        <w:jc w:val="both"/>
        <w:rPr>
          <w:rFonts w:eastAsia="Times New Roman" w:cstheme="minorHAnsi"/>
          <w:lang w:eastAsia="en-CA"/>
        </w:rPr>
      </w:pPr>
      <w:r>
        <w:rPr>
          <w:rFonts w:eastAsia="Times New Roman" w:cstheme="minorHAnsi"/>
          <w:lang w:eastAsia="en-CA"/>
        </w:rPr>
        <w:t>d</w:t>
      </w:r>
      <w:r w:rsidR="00A87442" w:rsidRPr="00A87442">
        <w:rPr>
          <w:rFonts w:eastAsia="Times New Roman" w:cstheme="minorHAnsi"/>
          <w:lang w:eastAsia="en-CA"/>
        </w:rPr>
        <w:t xml:space="preserve">epending on the burn severity and degree of coupling with the hillslope, </w:t>
      </w:r>
      <w:r w:rsidR="00A87442">
        <w:rPr>
          <w:rFonts w:eastAsia="Times New Roman" w:cstheme="minorHAnsi"/>
          <w:lang w:eastAsia="en-CA"/>
        </w:rPr>
        <w:t>s</w:t>
      </w:r>
      <w:r w:rsidR="006A78F4">
        <w:rPr>
          <w:rFonts w:eastAsia="Times New Roman" w:cstheme="minorHAnsi"/>
          <w:lang w:eastAsia="en-CA"/>
        </w:rPr>
        <w:t>ome</w:t>
      </w:r>
      <w:r w:rsidR="009D2B41">
        <w:rPr>
          <w:rFonts w:eastAsia="Times New Roman" w:cstheme="minorHAnsi"/>
          <w:lang w:eastAsia="en-CA"/>
        </w:rPr>
        <w:t xml:space="preserve"> b</w:t>
      </w:r>
      <w:r w:rsidR="006A78F4">
        <w:rPr>
          <w:rFonts w:eastAsia="Times New Roman" w:cstheme="minorHAnsi"/>
          <w:lang w:eastAsia="en-CA"/>
        </w:rPr>
        <w:t>urnt</w:t>
      </w:r>
      <w:r w:rsidR="009D2B41">
        <w:rPr>
          <w:rFonts w:eastAsia="Times New Roman" w:cstheme="minorHAnsi"/>
          <w:lang w:eastAsia="en-CA"/>
        </w:rPr>
        <w:t xml:space="preserve"> </w:t>
      </w:r>
      <w:r w:rsidR="009D2B41" w:rsidRPr="00C6344D">
        <w:rPr>
          <w:rFonts w:eastAsia="Times New Roman" w:cstheme="minorHAnsi"/>
          <w:lang w:eastAsia="en-CA"/>
        </w:rPr>
        <w:t xml:space="preserve">timber may be selectively </w:t>
      </w:r>
      <w:r w:rsidR="00851265">
        <w:rPr>
          <w:rFonts w:eastAsia="Times New Roman" w:cstheme="minorHAnsi"/>
          <w:lang w:eastAsia="en-CA"/>
        </w:rPr>
        <w:t>logged</w:t>
      </w:r>
      <w:r w:rsidR="00851265" w:rsidRPr="00C6344D">
        <w:rPr>
          <w:rFonts w:eastAsia="Times New Roman" w:cstheme="minorHAnsi"/>
          <w:lang w:eastAsia="en-CA"/>
        </w:rPr>
        <w:t xml:space="preserve"> </w:t>
      </w:r>
      <w:r w:rsidR="009D2B41" w:rsidRPr="00C6344D">
        <w:rPr>
          <w:rFonts w:eastAsia="Times New Roman" w:cstheme="minorHAnsi"/>
          <w:lang w:eastAsia="en-CA"/>
        </w:rPr>
        <w:t xml:space="preserve">from </w:t>
      </w:r>
      <w:r w:rsidR="0003313C">
        <w:rPr>
          <w:rFonts w:eastAsia="Times New Roman" w:cstheme="minorHAnsi"/>
          <w:lang w:eastAsia="en-CA"/>
        </w:rPr>
        <w:t>an RMA</w:t>
      </w:r>
      <w:r w:rsidR="009D2B41">
        <w:rPr>
          <w:rFonts w:eastAsia="Times New Roman" w:cstheme="minorHAnsi"/>
          <w:lang w:eastAsia="en-CA"/>
        </w:rPr>
        <w:t xml:space="preserve">. </w:t>
      </w:r>
    </w:p>
    <w:p w14:paraId="1033AB84" w14:textId="1FEFA885" w:rsidR="006A78F4" w:rsidRDefault="00E2725D" w:rsidP="006A78F4">
      <w:pPr>
        <w:pStyle w:val="Heading2"/>
        <w:rPr>
          <w:lang w:val="en-CA"/>
        </w:rPr>
      </w:pPr>
      <w:bookmarkStart w:id="22" w:name="_Toc503934744"/>
      <w:bookmarkEnd w:id="13"/>
      <w:r>
        <w:rPr>
          <w:lang w:val="en-CA"/>
        </w:rPr>
        <w:t xml:space="preserve">Institutional </w:t>
      </w:r>
      <w:r w:rsidR="00267EC5">
        <w:rPr>
          <w:lang w:val="en-CA"/>
        </w:rPr>
        <w:t>c</w:t>
      </w:r>
      <w:r w:rsidR="006A78F4" w:rsidRPr="006A78F4">
        <w:rPr>
          <w:lang w:val="en-CA"/>
        </w:rPr>
        <w:t>onsiderations</w:t>
      </w:r>
      <w:bookmarkEnd w:id="22"/>
    </w:p>
    <w:p w14:paraId="433CFE09" w14:textId="4981FEC5" w:rsidR="00E2725D" w:rsidRPr="00EF0B95" w:rsidRDefault="000D77FB" w:rsidP="00BD55B3">
      <w:pPr>
        <w:pStyle w:val="ListParagraph"/>
        <w:numPr>
          <w:ilvl w:val="0"/>
          <w:numId w:val="51"/>
        </w:numPr>
        <w:jc w:val="both"/>
      </w:pPr>
      <w:r>
        <w:t xml:space="preserve">This guidance is provided in addition to all existing, relevant policy and guidance, which remains in effect. </w:t>
      </w:r>
      <w:r w:rsidRPr="00EF0B95">
        <w:t>Legal requirements are set out in FRPA, the FPPR and associated Land Use Objectives Regulation Orders and Government Action Regulation Notices.</w:t>
      </w:r>
      <w:r>
        <w:t xml:space="preserve"> </w:t>
      </w:r>
      <w:r w:rsidRPr="006A78F4">
        <w:t xml:space="preserve">This guidance </w:t>
      </w:r>
      <w:r>
        <w:t xml:space="preserve">is based on the assumption that in many cases, </w:t>
      </w:r>
      <w:r w:rsidRPr="006A78F4">
        <w:t>management</w:t>
      </w:r>
      <w:r>
        <w:t xml:space="preserve"> practices</w:t>
      </w:r>
      <w:r w:rsidRPr="006A78F4">
        <w:t xml:space="preserve"> beyond the</w:t>
      </w:r>
      <w:r>
        <w:t xml:space="preserve"> legal standards</w:t>
      </w:r>
      <w:r w:rsidRPr="006A78F4">
        <w:t xml:space="preserve"> </w:t>
      </w:r>
      <w:r>
        <w:t>will be</w:t>
      </w:r>
      <w:r w:rsidRPr="006A78F4">
        <w:t xml:space="preserve"> necessary</w:t>
      </w:r>
      <w:r>
        <w:t xml:space="preserve"> </w:t>
      </w:r>
      <w:r w:rsidRPr="006A78F4">
        <w:t xml:space="preserve">to address government’s duty to </w:t>
      </w:r>
      <w:r>
        <w:t>balance</w:t>
      </w:r>
      <w:r w:rsidRPr="006A78F4">
        <w:t xml:space="preserve"> multiple forest</w:t>
      </w:r>
      <w:r>
        <w:t xml:space="preserve"> </w:t>
      </w:r>
      <w:r w:rsidRPr="006A78F4">
        <w:t>resource values</w:t>
      </w:r>
      <w:r>
        <w:t xml:space="preserve"> in the context of the 2017 wildfires</w:t>
      </w:r>
      <w:r w:rsidRPr="006A78F4">
        <w:t>. As such, legal orders</w:t>
      </w:r>
      <w:r>
        <w:t xml:space="preserve"> and practice requirements</w:t>
      </w:r>
      <w:r w:rsidRPr="006A78F4">
        <w:t xml:space="preserve"> should be viewed as </w:t>
      </w:r>
      <w:r>
        <w:t>a starting place when planning</w:t>
      </w:r>
      <w:r w:rsidRPr="006A78F4">
        <w:t xml:space="preserve"> for</w:t>
      </w:r>
      <w:r>
        <w:t xml:space="preserve"> </w:t>
      </w:r>
      <w:r w:rsidRPr="006A78F4">
        <w:t>retention</w:t>
      </w:r>
      <w:r>
        <w:t xml:space="preserve"> and salvage logging</w:t>
      </w:r>
      <w:r w:rsidRPr="006A78F4">
        <w:t>.</w:t>
      </w:r>
      <w:r w:rsidR="00E2725D" w:rsidRPr="00EF0B95">
        <w:t xml:space="preserve"> </w:t>
      </w:r>
    </w:p>
    <w:p w14:paraId="5AF8E61E" w14:textId="1518D287" w:rsidR="00E2725D" w:rsidRDefault="00E2725D" w:rsidP="0094157D">
      <w:pPr>
        <w:pStyle w:val="ListParagraph"/>
        <w:numPr>
          <w:ilvl w:val="0"/>
          <w:numId w:val="51"/>
        </w:numPr>
        <w:jc w:val="both"/>
      </w:pPr>
      <w:r>
        <w:t xml:space="preserve">Stand-level treatments intended to minimize impacts of the </w:t>
      </w:r>
      <w:r w:rsidR="00AD2298">
        <w:t>wildfires</w:t>
      </w:r>
      <w:r>
        <w:t xml:space="preserve"> on timber supply may be funded by government</w:t>
      </w:r>
      <w:r w:rsidRPr="00E2725D">
        <w:t xml:space="preserve"> </w:t>
      </w:r>
      <w:r>
        <w:t>initiatives that may have specific goals and/or requirements that result in activities not consistent with this guidance. Those initiatives include</w:t>
      </w:r>
      <w:r w:rsidR="0035262F">
        <w:t xml:space="preserve"> the following.</w:t>
      </w:r>
      <w:r>
        <w:t xml:space="preserve"> </w:t>
      </w:r>
    </w:p>
    <w:p w14:paraId="19A0EF48" w14:textId="6A1237C9" w:rsidR="00E2725D" w:rsidRDefault="00E2725D" w:rsidP="00433F5E">
      <w:pPr>
        <w:pStyle w:val="ListParagraph"/>
        <w:numPr>
          <w:ilvl w:val="1"/>
          <w:numId w:val="51"/>
        </w:numPr>
        <w:ind w:left="720"/>
        <w:jc w:val="both"/>
      </w:pPr>
      <w:r>
        <w:t>Forests for Tomorrow</w:t>
      </w:r>
      <w:r>
        <w:rPr>
          <w:rStyle w:val="FootnoteReference"/>
        </w:rPr>
        <w:footnoteReference w:id="16"/>
      </w:r>
      <w:r>
        <w:t xml:space="preserve"> may fund the rehabilitation of </w:t>
      </w:r>
      <w:r w:rsidR="00BD55B3">
        <w:t xml:space="preserve">previously </w:t>
      </w:r>
      <w:r>
        <w:t>free</w:t>
      </w:r>
      <w:r w:rsidR="00DE4123">
        <w:t>-</w:t>
      </w:r>
      <w:r>
        <w:t>growing plantations and mature forest damaged by wildfire.</w:t>
      </w:r>
    </w:p>
    <w:p w14:paraId="4E086397" w14:textId="57F30EE8" w:rsidR="00E2725D" w:rsidRDefault="00E2725D" w:rsidP="00433F5E">
      <w:pPr>
        <w:pStyle w:val="ListParagraph"/>
        <w:numPr>
          <w:ilvl w:val="1"/>
          <w:numId w:val="51"/>
        </w:numPr>
        <w:ind w:left="720"/>
        <w:jc w:val="both"/>
      </w:pPr>
      <w:r>
        <w:t>FRPA Section 108 funding</w:t>
      </w:r>
      <w:r>
        <w:rPr>
          <w:rStyle w:val="FootnoteReference"/>
        </w:rPr>
        <w:footnoteReference w:id="17"/>
      </w:r>
      <w:r>
        <w:t xml:space="preserve"> may be used to fund rehabilitation of damaged plantations </w:t>
      </w:r>
      <w:r w:rsidR="0015056D">
        <w:t xml:space="preserve">that had </w:t>
      </w:r>
      <w:r w:rsidR="00D66C0B">
        <w:t>yet to achieve</w:t>
      </w:r>
      <w:r>
        <w:t xml:space="preserve"> free</w:t>
      </w:r>
      <w:r w:rsidR="00DE4123">
        <w:t>-</w:t>
      </w:r>
      <w:r>
        <w:t>growing status</w:t>
      </w:r>
      <w:r w:rsidR="0015056D">
        <w:t xml:space="preserve"> at the time of the wildfires</w:t>
      </w:r>
      <w:r>
        <w:t xml:space="preserve">. </w:t>
      </w:r>
    </w:p>
    <w:p w14:paraId="7027BEBA" w14:textId="0ECF547C" w:rsidR="0035262F" w:rsidRDefault="00E2725D" w:rsidP="001B0DBA">
      <w:pPr>
        <w:pStyle w:val="ListParagraph"/>
        <w:numPr>
          <w:ilvl w:val="1"/>
          <w:numId w:val="51"/>
        </w:numPr>
        <w:ind w:left="720"/>
        <w:jc w:val="both"/>
      </w:pPr>
      <w:r>
        <w:t>The Forest Enhancement Society</w:t>
      </w:r>
      <w:r w:rsidR="00B60F15">
        <w:t xml:space="preserve"> of B</w:t>
      </w:r>
      <w:r w:rsidR="00DE4123">
        <w:t>.</w:t>
      </w:r>
      <w:r w:rsidR="00B60F15">
        <w:t>C</w:t>
      </w:r>
      <w:r w:rsidR="00DE4123">
        <w:t>.</w:t>
      </w:r>
      <w:r>
        <w:rPr>
          <w:rStyle w:val="FootnoteReference"/>
        </w:rPr>
        <w:footnoteReference w:id="18"/>
      </w:r>
      <w:r>
        <w:t xml:space="preserve"> may fund a variety of activities related to </w:t>
      </w:r>
      <w:r w:rsidRPr="00C66E75">
        <w:t>preventing and mitigating the impact of wildfires</w:t>
      </w:r>
      <w:r w:rsidR="00DE4123">
        <w:t>,</w:t>
      </w:r>
      <w:r>
        <w:t xml:space="preserve"> including </w:t>
      </w:r>
      <w:r w:rsidRPr="00C66E75">
        <w:t>treating forests to improve the management of greenhouse gases</w:t>
      </w:r>
      <w:r>
        <w:t xml:space="preserve"> under the auspices of the </w:t>
      </w:r>
      <w:r w:rsidRPr="004442E0">
        <w:t>Forest Carbon Initiative</w:t>
      </w:r>
      <w:r>
        <w:t>.</w:t>
      </w:r>
      <w:r>
        <w:rPr>
          <w:rStyle w:val="FootnoteReference"/>
        </w:rPr>
        <w:footnoteReference w:id="19"/>
      </w:r>
      <w:r>
        <w:t xml:space="preserve"> </w:t>
      </w:r>
    </w:p>
    <w:p w14:paraId="0F9FC162" w14:textId="77777777" w:rsidR="00BD55B3" w:rsidRDefault="006B0D40" w:rsidP="000B0781">
      <w:pPr>
        <w:pStyle w:val="Heading2"/>
      </w:pPr>
      <w:bookmarkStart w:id="23" w:name="_Toc503934745"/>
      <w:r>
        <w:t xml:space="preserve">Additional </w:t>
      </w:r>
      <w:r w:rsidR="00267EC5">
        <w:t>guidance references</w:t>
      </w:r>
      <w:bookmarkEnd w:id="23"/>
    </w:p>
    <w:p w14:paraId="320CAAB2" w14:textId="48E738DD" w:rsidR="009D2B41" w:rsidRDefault="00BD55B3" w:rsidP="001B0DBA">
      <w:pPr>
        <w:spacing w:after="0"/>
      </w:pPr>
      <w:r>
        <w:t>Government has published several other guidance documents that may be of use when designing retention plans.</w:t>
      </w:r>
    </w:p>
    <w:p w14:paraId="0E086EFF" w14:textId="6B39F4C1" w:rsidR="009D2B41" w:rsidRDefault="009D2B41" w:rsidP="009D2B41">
      <w:pPr>
        <w:pStyle w:val="ListParagraph"/>
        <w:numPr>
          <w:ilvl w:val="0"/>
          <w:numId w:val="15"/>
        </w:numPr>
        <w:jc w:val="both"/>
      </w:pPr>
      <w:r>
        <w:t xml:space="preserve">Cariboo-Chilcotin Land Use Plan: Regional Biodiversity Conservation Strategy; Update note #14, </w:t>
      </w:r>
      <w:r w:rsidR="0035262F">
        <w:t>t</w:t>
      </w:r>
      <w:r>
        <w:t>he function and management of old growth management areas in the Cariboo-Chilcotin.</w:t>
      </w:r>
      <w:r>
        <w:rPr>
          <w:rStyle w:val="FootnoteReference"/>
        </w:rPr>
        <w:footnoteReference w:id="20"/>
      </w:r>
    </w:p>
    <w:p w14:paraId="7496E1FC" w14:textId="77777777" w:rsidR="009D2B41" w:rsidRPr="00D612D0" w:rsidRDefault="009D2B41" w:rsidP="009D2B41">
      <w:pPr>
        <w:pStyle w:val="ListParagraph"/>
        <w:numPr>
          <w:ilvl w:val="0"/>
          <w:numId w:val="15"/>
        </w:numPr>
        <w:jc w:val="both"/>
        <w:rPr>
          <w:rStyle w:val="Hyperlink"/>
          <w:color w:val="auto"/>
          <w:u w:val="none"/>
        </w:rPr>
      </w:pPr>
      <w:r>
        <w:lastRenderedPageBreak/>
        <w:t>Cariboo-Chilcotin Land Use Plan: Regional Mule Deer Winter Range Strategy; Information Note #1, Guidance for fire-damaged stands</w:t>
      </w:r>
      <w:r>
        <w:rPr>
          <w:rStyle w:val="FootnoteReference"/>
        </w:rPr>
        <w:footnoteReference w:id="21"/>
      </w:r>
    </w:p>
    <w:p w14:paraId="4183E4E4" w14:textId="5F20FB88" w:rsidR="0015056D" w:rsidRDefault="009D2B41" w:rsidP="00C37BFA">
      <w:pPr>
        <w:pStyle w:val="ListParagraph"/>
        <w:numPr>
          <w:ilvl w:val="0"/>
          <w:numId w:val="15"/>
        </w:numPr>
        <w:jc w:val="both"/>
      </w:pPr>
      <w:r>
        <w:t>Guidelines for Fire Salvage Kamloops TSA (November 6, 2003)</w:t>
      </w:r>
      <w:r>
        <w:rPr>
          <w:rStyle w:val="FootnoteReference"/>
        </w:rPr>
        <w:footnoteReference w:id="22"/>
      </w:r>
    </w:p>
    <w:p w14:paraId="4F4343FC" w14:textId="000E5CB9" w:rsidR="009D2B41" w:rsidRDefault="009D2B41" w:rsidP="001B0DBA">
      <w:pPr>
        <w:spacing w:after="0"/>
        <w:jc w:val="both"/>
      </w:pPr>
      <w:r>
        <w:t xml:space="preserve">There is also potentially relevant guidance about salvage </w:t>
      </w:r>
      <w:r w:rsidR="00851265">
        <w:t xml:space="preserve">logging </w:t>
      </w:r>
      <w:r>
        <w:t>in response to insect outbreaks</w:t>
      </w:r>
      <w:r w:rsidR="0035262F">
        <w:t>.</w:t>
      </w:r>
    </w:p>
    <w:p w14:paraId="6293F91B" w14:textId="0F6065BF" w:rsidR="009D2B41" w:rsidRDefault="009D2B41" w:rsidP="00E41584">
      <w:pPr>
        <w:pStyle w:val="ListParagraph"/>
        <w:numPr>
          <w:ilvl w:val="0"/>
          <w:numId w:val="15"/>
        </w:numPr>
        <w:jc w:val="both"/>
      </w:pPr>
      <w:r>
        <w:t>Omineca Region guidance stand and landscape-level retention for harvesting in response to spruce beetle outbreaks (September 2017)</w:t>
      </w:r>
      <w:r>
        <w:rPr>
          <w:rStyle w:val="FootnoteReference"/>
        </w:rPr>
        <w:footnoteReference w:id="23"/>
      </w:r>
    </w:p>
    <w:p w14:paraId="61C8637D" w14:textId="77777777" w:rsidR="009D2B41" w:rsidRDefault="009D2B41" w:rsidP="00E41584">
      <w:pPr>
        <w:pStyle w:val="ListParagraph"/>
        <w:numPr>
          <w:ilvl w:val="0"/>
          <w:numId w:val="15"/>
        </w:numPr>
        <w:jc w:val="both"/>
      </w:pPr>
      <w:r>
        <w:t>Guidance on Landscape- and Stand-level Structural Retention in Large-Scale Mountain Pine Beetle Salvage Operations (December 2005)</w:t>
      </w:r>
      <w:r>
        <w:rPr>
          <w:rStyle w:val="FootnoteReference"/>
        </w:rPr>
        <w:footnoteReference w:id="24"/>
      </w:r>
    </w:p>
    <w:p w14:paraId="5F9D94B7" w14:textId="77777777" w:rsidR="009D2B41" w:rsidRPr="008567F2" w:rsidRDefault="009D2B41">
      <w:pPr>
        <w:pStyle w:val="ListParagraph"/>
        <w:numPr>
          <w:ilvl w:val="0"/>
          <w:numId w:val="15"/>
        </w:numPr>
        <w:jc w:val="both"/>
      </w:pPr>
      <w:r>
        <w:t>Best Management Practices for Soil Conservation in Mountain Pine Beetle Salvage Operations</w:t>
      </w:r>
      <w:r>
        <w:rPr>
          <w:rStyle w:val="FootnoteReference"/>
        </w:rPr>
        <w:footnoteReference w:id="25"/>
      </w:r>
    </w:p>
    <w:p w14:paraId="49E7A8C5" w14:textId="40F5D695" w:rsidR="00787C48" w:rsidRDefault="009D2B41" w:rsidP="009D2B41">
      <w:pPr>
        <w:jc w:val="both"/>
      </w:pPr>
      <w:r>
        <w:t xml:space="preserve">Where both wildfires and insect outbreaks have affected the landscape, planning should consider the interacting effects of both disturbances and should be based on all relevant guidance. </w:t>
      </w:r>
    </w:p>
    <w:p w14:paraId="3235EE5E" w14:textId="77777777" w:rsidR="00787C48" w:rsidRDefault="00787C48">
      <w:r>
        <w:br w:type="page"/>
      </w:r>
    </w:p>
    <w:p w14:paraId="1D9F25B4" w14:textId="1E375ED4" w:rsidR="00365393" w:rsidRDefault="009D2B41" w:rsidP="009D2B41">
      <w:pPr>
        <w:pStyle w:val="Heading1"/>
      </w:pPr>
      <w:bookmarkStart w:id="24" w:name="_Toc494874423"/>
      <w:bookmarkStart w:id="25" w:name="_Toc503934746"/>
      <w:r>
        <w:lastRenderedPageBreak/>
        <w:t>3</w:t>
      </w:r>
      <w:r>
        <w:tab/>
      </w:r>
      <w:r w:rsidR="00796652">
        <w:t xml:space="preserve">The </w:t>
      </w:r>
      <w:r w:rsidR="00940184">
        <w:t xml:space="preserve">2017 </w:t>
      </w:r>
      <w:r w:rsidR="00AD2298">
        <w:t>wildfires</w:t>
      </w:r>
      <w:r w:rsidR="00940184">
        <w:t xml:space="preserve"> </w:t>
      </w:r>
      <w:r w:rsidR="00796652">
        <w:t>in context</w:t>
      </w:r>
      <w:bookmarkEnd w:id="24"/>
      <w:bookmarkEnd w:id="25"/>
    </w:p>
    <w:p w14:paraId="398BCB2B" w14:textId="29F6E79B" w:rsidR="00D031D9" w:rsidRPr="00D031D9" w:rsidRDefault="00D031D9" w:rsidP="00D031D9">
      <w:pPr>
        <w:pStyle w:val="Heading2"/>
      </w:pPr>
      <w:bookmarkStart w:id="26" w:name="_Toc503934747"/>
      <w:r>
        <w:t>Area burned</w:t>
      </w:r>
      <w:bookmarkEnd w:id="26"/>
    </w:p>
    <w:p w14:paraId="6AEBFD16" w14:textId="000EC324" w:rsidR="00465007" w:rsidRDefault="00DE4123" w:rsidP="001C4256">
      <w:pPr>
        <w:jc w:val="both"/>
      </w:pPr>
      <w:r>
        <w:t xml:space="preserve">In </w:t>
      </w:r>
      <w:r w:rsidR="0043750E">
        <w:t>2017</w:t>
      </w:r>
      <w:r w:rsidR="00775FC2">
        <w:t>,</w:t>
      </w:r>
      <w:r w:rsidR="0043750E">
        <w:t xml:space="preserve"> wildfires affected over 1.2 milli</w:t>
      </w:r>
      <w:r w:rsidR="00465007">
        <w:t>on hecta</w:t>
      </w:r>
      <w:r w:rsidR="00C06920">
        <w:t>res in British Columbia,</w:t>
      </w:r>
      <w:r w:rsidR="00465007">
        <w:t xml:space="preserve"> the </w:t>
      </w:r>
      <w:r w:rsidR="00B60F15">
        <w:t xml:space="preserve">largest </w:t>
      </w:r>
      <w:r w:rsidR="00D111E5">
        <w:t>impa</w:t>
      </w:r>
      <w:r w:rsidR="00192C14">
        <w:t>ct</w:t>
      </w:r>
      <w:r w:rsidR="00465007">
        <w:t xml:space="preserve"> </w:t>
      </w:r>
      <w:r w:rsidR="00B60F15">
        <w:t>on record</w:t>
      </w:r>
      <w:r w:rsidR="00C06920">
        <w:t>, and</w:t>
      </w:r>
      <w:r w:rsidR="0043750E">
        <w:t xml:space="preserve"> </w:t>
      </w:r>
      <w:r w:rsidR="00965B14">
        <w:t xml:space="preserve">over </w:t>
      </w:r>
      <w:r w:rsidR="0043750E">
        <w:t xml:space="preserve">eight times </w:t>
      </w:r>
      <w:r w:rsidR="003B721E">
        <w:t xml:space="preserve">larger than </w:t>
      </w:r>
      <w:r w:rsidR="0043750E">
        <w:t xml:space="preserve">the average </w:t>
      </w:r>
      <w:r w:rsidR="00965B14">
        <w:t xml:space="preserve">annual </w:t>
      </w:r>
      <w:r w:rsidR="0043750E">
        <w:t xml:space="preserve">area </w:t>
      </w:r>
      <w:r w:rsidR="00D111E5">
        <w:t xml:space="preserve">burned </w:t>
      </w:r>
      <w:r w:rsidR="0043750E">
        <w:t>(1</w:t>
      </w:r>
      <w:r w:rsidR="003B721E">
        <w:t>42</w:t>
      </w:r>
      <w:r w:rsidR="0043750E">
        <w:t>,000 hectares)</w:t>
      </w:r>
      <w:r w:rsidR="00C06920">
        <w:t>. The area affected</w:t>
      </w:r>
      <w:r w:rsidR="003B721E">
        <w:t xml:space="preserve"> is seventeen times larger than the long</w:t>
      </w:r>
      <w:r>
        <w:t>-</w:t>
      </w:r>
      <w:r w:rsidR="003B721E">
        <w:t xml:space="preserve">term median, because there </w:t>
      </w:r>
      <w:r w:rsidR="00B60F15">
        <w:t xml:space="preserve">were </w:t>
      </w:r>
      <w:r w:rsidR="003B721E">
        <w:t>relatively few</w:t>
      </w:r>
      <w:r w:rsidR="00514F04">
        <w:t>,</w:t>
      </w:r>
      <w:r w:rsidR="003B721E">
        <w:t xml:space="preserve"> very large </w:t>
      </w:r>
      <w:r w:rsidR="009C1BAF">
        <w:t>wildfire</w:t>
      </w:r>
      <w:r w:rsidR="003B721E">
        <w:t xml:space="preserve"> years</w:t>
      </w:r>
      <w:r w:rsidR="006A0D5F">
        <w:t xml:space="preserve">; </w:t>
      </w:r>
      <w:r w:rsidR="003B721E">
        <w:t xml:space="preserve">40% of the total area </w:t>
      </w:r>
      <w:r w:rsidR="00D72726">
        <w:t xml:space="preserve">affected by wildfire </w:t>
      </w:r>
      <w:r w:rsidR="003B721E">
        <w:t xml:space="preserve">in the last century was </w:t>
      </w:r>
      <w:r w:rsidR="00D72726">
        <w:t>the result of</w:t>
      </w:r>
      <w:r w:rsidR="003B721E">
        <w:t xml:space="preserve"> the 10 largest </w:t>
      </w:r>
      <w:r w:rsidR="009C1BAF">
        <w:t>wildfire</w:t>
      </w:r>
      <w:r w:rsidR="003B721E">
        <w:t xml:space="preserve"> years</w:t>
      </w:r>
      <w:r w:rsidR="00465007">
        <w:t xml:space="preserve"> (</w:t>
      </w:r>
      <w:r w:rsidR="00465007">
        <w:fldChar w:fldCharType="begin"/>
      </w:r>
      <w:r w:rsidR="00465007">
        <w:instrText xml:space="preserve"> REF _Ref497561130 \h </w:instrText>
      </w:r>
      <w:r w:rsidR="001D253F">
        <w:instrText xml:space="preserve"> \* MERGEFORMAT </w:instrText>
      </w:r>
      <w:r w:rsidR="00465007">
        <w:fldChar w:fldCharType="separate"/>
      </w:r>
      <w:r w:rsidR="00EA1ED1">
        <w:t xml:space="preserve">Figure </w:t>
      </w:r>
      <w:r w:rsidR="00EA1ED1">
        <w:rPr>
          <w:noProof/>
        </w:rPr>
        <w:t>1</w:t>
      </w:r>
      <w:r w:rsidR="00465007">
        <w:fldChar w:fldCharType="end"/>
      </w:r>
      <w:r w:rsidR="00465007">
        <w:t>)</w:t>
      </w:r>
      <w:r w:rsidR="0043750E">
        <w:t xml:space="preserve">. </w:t>
      </w:r>
    </w:p>
    <w:p w14:paraId="4A40DD96" w14:textId="5AAFF6BB" w:rsidR="00465007" w:rsidRDefault="00C44518" w:rsidP="00365393">
      <w:r>
        <w:rPr>
          <w:noProof/>
          <w:lang w:val="en-CA" w:eastAsia="en-CA"/>
        </w:rPr>
        <w:drawing>
          <wp:inline distT="0" distB="0" distL="0" distR="0" wp14:anchorId="2B995D3E" wp14:editId="03B1BF94">
            <wp:extent cx="5943600" cy="2881223"/>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17A74E7" w14:textId="5F512060" w:rsidR="00465007" w:rsidRDefault="00465007" w:rsidP="00465007">
      <w:pPr>
        <w:pStyle w:val="Caption"/>
      </w:pPr>
      <w:bookmarkStart w:id="27" w:name="_Ref497561130"/>
      <w:bookmarkStart w:id="28" w:name="_Toc501382120"/>
      <w:r>
        <w:t xml:space="preserve">Figure </w:t>
      </w:r>
      <w:fldSimple w:instr=" SEQ Figure \* ARABIC ">
        <w:r w:rsidR="00EA1ED1">
          <w:rPr>
            <w:noProof/>
          </w:rPr>
          <w:t>1</w:t>
        </w:r>
      </w:fldSimple>
      <w:bookmarkEnd w:id="27"/>
      <w:r>
        <w:t xml:space="preserve">. </w:t>
      </w:r>
      <w:r w:rsidR="006A0D5F">
        <w:t>Annual a</w:t>
      </w:r>
      <w:r>
        <w:t xml:space="preserve">rea </w:t>
      </w:r>
      <w:r w:rsidR="006A0D5F">
        <w:t>affected by wildfire</w:t>
      </w:r>
      <w:r w:rsidR="00433F5E">
        <w:t xml:space="preserve"> provincially</w:t>
      </w:r>
      <w:r>
        <w:t>.</w:t>
      </w:r>
      <w:bookmarkEnd w:id="28"/>
    </w:p>
    <w:p w14:paraId="2F6FEDC5" w14:textId="5160F818" w:rsidR="00AA217E" w:rsidRDefault="00AA217E" w:rsidP="001C4256">
      <w:pPr>
        <w:jc w:val="both"/>
      </w:pPr>
      <w:r>
        <w:t>Ninety</w:t>
      </w:r>
      <w:r w:rsidR="00DE4123">
        <w:t>-</w:t>
      </w:r>
      <w:r>
        <w:t xml:space="preserve">six percent of the area </w:t>
      </w:r>
      <w:r w:rsidR="006A0D5F">
        <w:t xml:space="preserve">affected </w:t>
      </w:r>
      <w:r w:rsidR="00B60F15">
        <w:t xml:space="preserve">by wildfires in 2017 </w:t>
      </w:r>
      <w:r>
        <w:t>was in the southern interior (Cariboo, Kootenay/Boundary and Thompson/Okanagan forest regions)</w:t>
      </w:r>
      <w:r w:rsidR="0035262F">
        <w:t>,</w:t>
      </w:r>
      <w:r w:rsidR="00B60F15">
        <w:t xml:space="preserve"> with 80% </w:t>
      </w:r>
      <w:r w:rsidR="00DE4123">
        <w:t xml:space="preserve">of the affected are </w:t>
      </w:r>
      <w:r w:rsidR="00B60F15">
        <w:t>in the Cariboo region.</w:t>
      </w:r>
      <w:r>
        <w:t xml:space="preserve"> </w:t>
      </w:r>
      <w:r w:rsidR="00B60F15">
        <w:t>O</w:t>
      </w:r>
      <w:r>
        <w:t xml:space="preserve">nly 40,000 </w:t>
      </w:r>
      <w:r w:rsidR="00C06920">
        <w:t xml:space="preserve">hectares </w:t>
      </w:r>
      <w:r w:rsidR="00B60F15">
        <w:t xml:space="preserve">were </w:t>
      </w:r>
      <w:r>
        <w:t>burned on the coast and in the northern interior</w:t>
      </w:r>
      <w:r w:rsidR="00B10334">
        <w:t xml:space="preserve"> (</w:t>
      </w:r>
      <w:r w:rsidR="00B10334">
        <w:fldChar w:fldCharType="begin"/>
      </w:r>
      <w:r w:rsidR="00B10334">
        <w:instrText xml:space="preserve"> REF _Ref497564527 \h </w:instrText>
      </w:r>
      <w:r w:rsidR="001D253F">
        <w:instrText xml:space="preserve"> \* MERGEFORMAT </w:instrText>
      </w:r>
      <w:r w:rsidR="00B10334">
        <w:fldChar w:fldCharType="separate"/>
      </w:r>
      <w:r w:rsidR="00EA1ED1">
        <w:t xml:space="preserve">Figure </w:t>
      </w:r>
      <w:r w:rsidR="00EA1ED1">
        <w:rPr>
          <w:noProof/>
        </w:rPr>
        <w:t>2</w:t>
      </w:r>
      <w:r w:rsidR="00B10334">
        <w:fldChar w:fldCharType="end"/>
      </w:r>
      <w:r w:rsidR="00B10334">
        <w:t>)</w:t>
      </w:r>
      <w:r>
        <w:t>.</w:t>
      </w:r>
    </w:p>
    <w:p w14:paraId="2E8AAA25" w14:textId="1FC8BCBD" w:rsidR="00465007" w:rsidRDefault="00AA217E" w:rsidP="00365393">
      <w:r>
        <w:t xml:space="preserve"> </w:t>
      </w:r>
      <w:r>
        <w:rPr>
          <w:noProof/>
          <w:lang w:val="en-CA" w:eastAsia="en-CA"/>
        </w:rPr>
        <w:drawing>
          <wp:inline distT="0" distB="0" distL="0" distR="0" wp14:anchorId="72FD708E" wp14:editId="1C40812D">
            <wp:extent cx="5848350" cy="1665027"/>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668D314" w14:textId="37CDA629" w:rsidR="00B10334" w:rsidRDefault="00AA217E" w:rsidP="00467C7D">
      <w:pPr>
        <w:pStyle w:val="Caption"/>
      </w:pPr>
      <w:bookmarkStart w:id="29" w:name="_Ref497564527"/>
      <w:bookmarkStart w:id="30" w:name="_Toc501382121"/>
      <w:r>
        <w:t xml:space="preserve">Figure </w:t>
      </w:r>
      <w:fldSimple w:instr=" SEQ Figure \* ARABIC ">
        <w:r w:rsidR="00EA1ED1">
          <w:rPr>
            <w:noProof/>
          </w:rPr>
          <w:t>2</w:t>
        </w:r>
      </w:fldSimple>
      <w:bookmarkEnd w:id="29"/>
      <w:r>
        <w:t xml:space="preserve">. </w:t>
      </w:r>
      <w:r w:rsidR="006A0D5F">
        <w:t>Regional a</w:t>
      </w:r>
      <w:r>
        <w:t xml:space="preserve">rea </w:t>
      </w:r>
      <w:r w:rsidR="006A0D5F">
        <w:t>affected by the 2017 wildfires</w:t>
      </w:r>
      <w:r w:rsidR="00FE6B8D">
        <w:t xml:space="preserve"> (</w:t>
      </w:r>
      <w:r>
        <w:t xml:space="preserve">Other includes the South Coast, West Coast, Skeena and Northeast </w:t>
      </w:r>
      <w:r w:rsidR="00FE6B8D">
        <w:t>r</w:t>
      </w:r>
      <w:r>
        <w:t>egions</w:t>
      </w:r>
      <w:r w:rsidR="00FE6B8D">
        <w:t>)</w:t>
      </w:r>
      <w:r>
        <w:t>.</w:t>
      </w:r>
      <w:bookmarkEnd w:id="30"/>
    </w:p>
    <w:p w14:paraId="27564184" w14:textId="77777777" w:rsidR="00433F5E" w:rsidRDefault="00433F5E">
      <w:r>
        <w:br w:type="page"/>
      </w:r>
    </w:p>
    <w:p w14:paraId="277E6DC5" w14:textId="4207C640" w:rsidR="00500CFB" w:rsidRDefault="004F4C8E" w:rsidP="00461B5E">
      <w:pPr>
        <w:jc w:val="both"/>
      </w:pPr>
      <w:r>
        <w:lastRenderedPageBreak/>
        <w:t xml:space="preserve">It is important to understand that these </w:t>
      </w:r>
      <w:r w:rsidR="004F6408">
        <w:t xml:space="preserve">estimates </w:t>
      </w:r>
      <w:r>
        <w:t xml:space="preserve">represent the </w:t>
      </w:r>
      <w:r w:rsidR="00B60F15">
        <w:t xml:space="preserve">total </w:t>
      </w:r>
      <w:r>
        <w:t xml:space="preserve">area within the mapped perimeter of the </w:t>
      </w:r>
      <w:r w:rsidR="00AD2298">
        <w:t>wildfires</w:t>
      </w:r>
      <w:r>
        <w:t xml:space="preserve">. </w:t>
      </w:r>
      <w:r w:rsidR="00B60F15">
        <w:t>However, n</w:t>
      </w:r>
      <w:r>
        <w:t xml:space="preserve">ot all of the </w:t>
      </w:r>
      <w:r w:rsidR="002B6DB6">
        <w:t xml:space="preserve">forest in these </w:t>
      </w:r>
      <w:r>
        <w:t>area</w:t>
      </w:r>
      <w:r w:rsidR="002B6DB6">
        <w:t>s</w:t>
      </w:r>
      <w:r>
        <w:t xml:space="preserve"> was completely consumed by </w:t>
      </w:r>
      <w:r w:rsidR="009C1BAF">
        <w:t>wildfire</w:t>
      </w:r>
      <w:r>
        <w:t xml:space="preserve">. Estimates of burn severity, based on satellite image interpretation, </w:t>
      </w:r>
      <w:r w:rsidR="00544D8F">
        <w:t>are</w:t>
      </w:r>
      <w:r>
        <w:t xml:space="preserve"> complete for </w:t>
      </w:r>
      <w:r w:rsidR="00303231">
        <w:t>8</w:t>
      </w:r>
      <w:r w:rsidR="00FB2308">
        <w:t>8</w:t>
      </w:r>
      <w:r w:rsidR="00303231">
        <w:t>%</w:t>
      </w:r>
      <w:r w:rsidR="006139B7">
        <w:rPr>
          <w:rStyle w:val="FootnoteReference"/>
        </w:rPr>
        <w:footnoteReference w:id="26"/>
      </w:r>
      <w:r w:rsidR="00303231">
        <w:t xml:space="preserve"> </w:t>
      </w:r>
      <w:r>
        <w:t>of the burn</w:t>
      </w:r>
      <w:r w:rsidR="008709C1">
        <w:t>t</w:t>
      </w:r>
      <w:r>
        <w:t xml:space="preserve"> area</w:t>
      </w:r>
      <w:r w:rsidR="00544D8F">
        <w:t>,</w:t>
      </w:r>
      <w:r>
        <w:t xml:space="preserve"> and show that the burns were highly variable in intensity (</w:t>
      </w:r>
      <w:r w:rsidR="00C23D67">
        <w:fldChar w:fldCharType="begin"/>
      </w:r>
      <w:r w:rsidR="00C23D67">
        <w:instrText xml:space="preserve"> REF _Ref497736447 \h </w:instrText>
      </w:r>
      <w:r w:rsidR="001D253F">
        <w:instrText xml:space="preserve"> \* MERGEFORMAT </w:instrText>
      </w:r>
      <w:r w:rsidR="00C23D67">
        <w:fldChar w:fldCharType="separate"/>
      </w:r>
      <w:r w:rsidR="00EA1ED1">
        <w:t xml:space="preserve">Table </w:t>
      </w:r>
      <w:r w:rsidR="00EA1ED1">
        <w:rPr>
          <w:noProof/>
        </w:rPr>
        <w:t>1</w:t>
      </w:r>
      <w:r w:rsidR="00C23D67">
        <w:fldChar w:fldCharType="end"/>
      </w:r>
      <w:r w:rsidR="00C23D67">
        <w:t>)</w:t>
      </w:r>
      <w:r w:rsidR="00FE6B8D">
        <w:t>.</w:t>
      </w:r>
      <w:r w:rsidR="00461B5E">
        <w:t xml:space="preserve"> </w:t>
      </w:r>
    </w:p>
    <w:p w14:paraId="594161B0" w14:textId="3F4D6310" w:rsidR="00500CFB" w:rsidRDefault="004F6408" w:rsidP="00461B5E">
      <w:pPr>
        <w:jc w:val="both"/>
        <w:rPr>
          <w:noProof/>
        </w:rPr>
      </w:pPr>
      <w:r>
        <w:t>The t</w:t>
      </w:r>
      <w:r w:rsidR="00461B5E">
        <w:t xml:space="preserve">hree </w:t>
      </w:r>
      <w:r>
        <w:t>largest</w:t>
      </w:r>
      <w:r w:rsidR="00461B5E">
        <w:t xml:space="preserve"> </w:t>
      </w:r>
      <w:r w:rsidR="00AD2298">
        <w:t>wildfires</w:t>
      </w:r>
      <w:r w:rsidR="00461B5E">
        <w:t xml:space="preserve"> </w:t>
      </w:r>
      <w:r w:rsidR="006139B7">
        <w:t xml:space="preserve">in 2017 </w:t>
      </w:r>
      <w:r w:rsidR="00461B5E">
        <w:t>represent over 75% of the area affected; the</w:t>
      </w:r>
      <w:r w:rsidR="00461B5E" w:rsidRPr="00D52D73">
        <w:t xml:space="preserve"> </w:t>
      </w:r>
      <w:r w:rsidR="00461B5E" w:rsidRPr="00EF0B95">
        <w:rPr>
          <w:b/>
        </w:rPr>
        <w:t>Plateau Fire complex</w:t>
      </w:r>
      <w:r w:rsidR="00461B5E">
        <w:t xml:space="preserve"> </w:t>
      </w:r>
      <w:r w:rsidR="00461B5E" w:rsidRPr="00D52D73">
        <w:t>(</w:t>
      </w:r>
      <w:r w:rsidR="00461B5E">
        <w:t>521,000 hectares</w:t>
      </w:r>
      <w:r w:rsidR="00461B5E" w:rsidRPr="00D52D73">
        <w:t>)</w:t>
      </w:r>
      <w:r w:rsidR="00461B5E">
        <w:t xml:space="preserve">, the </w:t>
      </w:r>
      <w:r w:rsidR="00461B5E" w:rsidRPr="00EF0B95">
        <w:rPr>
          <w:b/>
        </w:rPr>
        <w:t>Hanceville-Riske Creek</w:t>
      </w:r>
      <w:r w:rsidR="00461B5E">
        <w:t xml:space="preserve"> fire (239,000 hectares), and the </w:t>
      </w:r>
      <w:r w:rsidR="00461B5E" w:rsidRPr="00EF0B95">
        <w:rPr>
          <w:b/>
        </w:rPr>
        <w:t>Elephan</w:t>
      </w:r>
      <w:r w:rsidR="008A44FE" w:rsidRPr="00EF0B95">
        <w:rPr>
          <w:b/>
        </w:rPr>
        <w:t>t Hill</w:t>
      </w:r>
      <w:r w:rsidR="008A44FE">
        <w:t xml:space="preserve"> fire (192,000 hectares)</w:t>
      </w:r>
      <w:r w:rsidR="00866DAB">
        <w:t xml:space="preserve"> (Figure 3</w:t>
      </w:r>
      <w:r w:rsidR="00461B5E">
        <w:t xml:space="preserve">). The Plateau Fire complex is the largest </w:t>
      </w:r>
      <w:r w:rsidR="009C1BAF">
        <w:t>wildfire</w:t>
      </w:r>
      <w:r w:rsidR="00461B5E">
        <w:t xml:space="preserve"> </w:t>
      </w:r>
      <w:r w:rsidR="00B60F15">
        <w:t xml:space="preserve">on </w:t>
      </w:r>
      <w:r w:rsidR="00461B5E">
        <w:t>record</w:t>
      </w:r>
      <w:r w:rsidR="006139B7">
        <w:t xml:space="preserve"> in B.C.</w:t>
      </w:r>
      <w:r w:rsidR="00461B5E">
        <w:t xml:space="preserve">; double the size of </w:t>
      </w:r>
      <w:r w:rsidR="00FB7F0A">
        <w:t xml:space="preserve">the </w:t>
      </w:r>
      <w:r w:rsidR="00461B5E">
        <w:t xml:space="preserve">previous largest </w:t>
      </w:r>
      <w:r w:rsidR="009C1BAF">
        <w:t>wildfire</w:t>
      </w:r>
      <w:r w:rsidR="00461B5E">
        <w:t xml:space="preserve"> (a 244,000</w:t>
      </w:r>
      <w:r w:rsidR="006139B7">
        <w:t>-</w:t>
      </w:r>
      <w:r w:rsidR="00461B5E">
        <w:t xml:space="preserve">hectare </w:t>
      </w:r>
      <w:r w:rsidR="009C1BAF">
        <w:t>wildfire</w:t>
      </w:r>
      <w:r w:rsidR="00461B5E">
        <w:t xml:space="preserve"> that occurred in 1958). </w:t>
      </w:r>
    </w:p>
    <w:p w14:paraId="6E485494" w14:textId="4003DCBE" w:rsidR="00B67C74" w:rsidRDefault="00B67C74" w:rsidP="00B67C74">
      <w:pPr>
        <w:pStyle w:val="Caption"/>
      </w:pPr>
      <w:bookmarkStart w:id="31" w:name="_Ref497736447"/>
      <w:bookmarkStart w:id="32" w:name="_Toc502565288"/>
      <w:r>
        <w:t xml:space="preserve">Table </w:t>
      </w:r>
      <w:fldSimple w:instr=" SEQ Table \* ARABIC ">
        <w:r w:rsidR="00EA1ED1">
          <w:rPr>
            <w:noProof/>
          </w:rPr>
          <w:t>1</w:t>
        </w:r>
      </w:fldSimple>
      <w:bookmarkEnd w:id="31"/>
      <w:r>
        <w:t xml:space="preserve">. Proportion of area inside the </w:t>
      </w:r>
      <w:r w:rsidR="009C1BAF">
        <w:t>wildfire</w:t>
      </w:r>
      <w:r>
        <w:t xml:space="preserve"> perimeters by burn severity category</w:t>
      </w:r>
      <w:bookmarkEnd w:id="32"/>
    </w:p>
    <w:tbl>
      <w:tblPr>
        <w:tblW w:w="0" w:type="auto"/>
        <w:tblCellMar>
          <w:left w:w="0" w:type="dxa"/>
          <w:right w:w="0" w:type="dxa"/>
        </w:tblCellMar>
        <w:tblLook w:val="04A0" w:firstRow="1" w:lastRow="0" w:firstColumn="1" w:lastColumn="0" w:noHBand="0" w:noVBand="1"/>
      </w:tblPr>
      <w:tblGrid>
        <w:gridCol w:w="2178"/>
        <w:gridCol w:w="2250"/>
        <w:gridCol w:w="1119"/>
        <w:gridCol w:w="908"/>
      </w:tblGrid>
      <w:tr w:rsidR="00FB2308" w14:paraId="6CB3066A" w14:textId="77777777" w:rsidTr="00FB2308">
        <w:tc>
          <w:tcPr>
            <w:tcW w:w="2178" w:type="dxa"/>
            <w:tcBorders>
              <w:top w:val="single" w:sz="12" w:space="0" w:color="auto"/>
              <w:left w:val="nil"/>
              <w:bottom w:val="single" w:sz="8" w:space="0" w:color="auto"/>
              <w:right w:val="nil"/>
            </w:tcBorders>
            <w:tcMar>
              <w:top w:w="0" w:type="dxa"/>
              <w:left w:w="108" w:type="dxa"/>
              <w:bottom w:w="0" w:type="dxa"/>
              <w:right w:w="108" w:type="dxa"/>
            </w:tcMar>
            <w:hideMark/>
          </w:tcPr>
          <w:p w14:paraId="53AC1636" w14:textId="77777777" w:rsidR="00FB2308" w:rsidRDefault="00FB2308">
            <w:pPr>
              <w:spacing w:line="252" w:lineRule="auto"/>
              <w:rPr>
                <w:rFonts w:ascii="Calibri" w:eastAsia="MS PGothic" w:hAnsi="Calibri" w:cs="Calibri"/>
                <w:color w:val="FF0000"/>
              </w:rPr>
            </w:pPr>
            <w:r>
              <w:t>Severity Category</w:t>
            </w:r>
          </w:p>
        </w:tc>
        <w:tc>
          <w:tcPr>
            <w:tcW w:w="2250" w:type="dxa"/>
            <w:tcBorders>
              <w:top w:val="single" w:sz="12" w:space="0" w:color="auto"/>
              <w:left w:val="nil"/>
              <w:bottom w:val="single" w:sz="8" w:space="0" w:color="auto"/>
              <w:right w:val="nil"/>
            </w:tcBorders>
            <w:tcMar>
              <w:top w:w="0" w:type="dxa"/>
              <w:left w:w="108" w:type="dxa"/>
              <w:bottom w:w="0" w:type="dxa"/>
              <w:right w:w="108" w:type="dxa"/>
            </w:tcMar>
            <w:hideMark/>
          </w:tcPr>
          <w:p w14:paraId="0BDD033E" w14:textId="3BA0BFDE" w:rsidR="00FB2308" w:rsidRDefault="00FB2308">
            <w:pPr>
              <w:spacing w:line="252" w:lineRule="auto"/>
              <w:jc w:val="right"/>
              <w:rPr>
                <w:rFonts w:ascii="Calibri" w:eastAsia="MS PGothic" w:hAnsi="Calibri" w:cs="Calibri"/>
              </w:rPr>
            </w:pPr>
            <w:r>
              <w:t>Estimated % of volume killed</w:t>
            </w:r>
            <w:r w:rsidR="00FD4A32">
              <w:t>*</w:t>
            </w:r>
          </w:p>
        </w:tc>
        <w:tc>
          <w:tcPr>
            <w:tcW w:w="1119" w:type="dxa"/>
            <w:tcBorders>
              <w:top w:val="single" w:sz="12" w:space="0" w:color="auto"/>
              <w:left w:val="nil"/>
              <w:bottom w:val="single" w:sz="8" w:space="0" w:color="auto"/>
              <w:right w:val="nil"/>
            </w:tcBorders>
            <w:tcMar>
              <w:top w:w="0" w:type="dxa"/>
              <w:left w:w="108" w:type="dxa"/>
              <w:bottom w:w="0" w:type="dxa"/>
              <w:right w:w="108" w:type="dxa"/>
            </w:tcMar>
            <w:hideMark/>
          </w:tcPr>
          <w:p w14:paraId="38D20B09" w14:textId="77777777" w:rsidR="00FB2308" w:rsidRDefault="00FB2308">
            <w:pPr>
              <w:spacing w:line="252" w:lineRule="auto"/>
              <w:jc w:val="right"/>
              <w:rPr>
                <w:rFonts w:ascii="Calibri" w:eastAsia="MS PGothic" w:hAnsi="Calibri" w:cs="Calibri"/>
              </w:rPr>
            </w:pPr>
            <w:r>
              <w:t>Area (hectares)</w:t>
            </w:r>
          </w:p>
        </w:tc>
        <w:tc>
          <w:tcPr>
            <w:tcW w:w="908" w:type="dxa"/>
            <w:tcBorders>
              <w:top w:val="single" w:sz="12" w:space="0" w:color="auto"/>
              <w:left w:val="nil"/>
              <w:bottom w:val="single" w:sz="8" w:space="0" w:color="auto"/>
              <w:right w:val="nil"/>
            </w:tcBorders>
            <w:tcMar>
              <w:top w:w="0" w:type="dxa"/>
              <w:left w:w="108" w:type="dxa"/>
              <w:bottom w:w="0" w:type="dxa"/>
              <w:right w:w="108" w:type="dxa"/>
            </w:tcMar>
            <w:hideMark/>
          </w:tcPr>
          <w:p w14:paraId="6CFE23DF" w14:textId="77777777" w:rsidR="00FB2308" w:rsidRDefault="00FB2308">
            <w:pPr>
              <w:spacing w:line="252" w:lineRule="auto"/>
              <w:jc w:val="right"/>
              <w:rPr>
                <w:rFonts w:ascii="Calibri" w:eastAsia="MS PGothic" w:hAnsi="Calibri" w:cs="Calibri"/>
              </w:rPr>
            </w:pPr>
            <w:r>
              <w:t>Percent of Area</w:t>
            </w:r>
          </w:p>
        </w:tc>
      </w:tr>
      <w:tr w:rsidR="00FB2308" w14:paraId="5BCE5FD6" w14:textId="77777777" w:rsidTr="00FB2308">
        <w:tc>
          <w:tcPr>
            <w:tcW w:w="2178" w:type="dxa"/>
            <w:tcMar>
              <w:top w:w="0" w:type="dxa"/>
              <w:left w:w="108" w:type="dxa"/>
              <w:bottom w:w="0" w:type="dxa"/>
              <w:right w:w="108" w:type="dxa"/>
            </w:tcMar>
            <w:hideMark/>
          </w:tcPr>
          <w:p w14:paraId="2B09F9A2" w14:textId="77777777" w:rsidR="00FB2308" w:rsidRDefault="00FB2308">
            <w:pPr>
              <w:spacing w:after="120" w:line="252" w:lineRule="auto"/>
              <w:rPr>
                <w:rFonts w:ascii="Calibri" w:eastAsia="MS PGothic" w:hAnsi="Calibri" w:cs="Calibri"/>
              </w:rPr>
            </w:pPr>
            <w:r>
              <w:t>Unburned</w:t>
            </w:r>
          </w:p>
        </w:tc>
        <w:tc>
          <w:tcPr>
            <w:tcW w:w="2250" w:type="dxa"/>
            <w:tcMar>
              <w:top w:w="0" w:type="dxa"/>
              <w:left w:w="108" w:type="dxa"/>
              <w:bottom w:w="0" w:type="dxa"/>
              <w:right w:w="108" w:type="dxa"/>
            </w:tcMar>
            <w:hideMark/>
          </w:tcPr>
          <w:p w14:paraId="38BA8FB2" w14:textId="77777777" w:rsidR="00FB2308" w:rsidRDefault="00FB2308" w:rsidP="00746F90">
            <w:pPr>
              <w:spacing w:after="120" w:line="252" w:lineRule="auto"/>
              <w:jc w:val="right"/>
              <w:rPr>
                <w:rFonts w:ascii="Calibri" w:eastAsia="MS PGothic" w:hAnsi="Calibri" w:cs="Calibri"/>
              </w:rPr>
            </w:pPr>
            <w:r>
              <w:t>3</w:t>
            </w:r>
          </w:p>
        </w:tc>
        <w:tc>
          <w:tcPr>
            <w:tcW w:w="1119" w:type="dxa"/>
            <w:tcMar>
              <w:top w:w="0" w:type="dxa"/>
              <w:left w:w="108" w:type="dxa"/>
              <w:bottom w:w="0" w:type="dxa"/>
              <w:right w:w="108" w:type="dxa"/>
            </w:tcMar>
            <w:hideMark/>
          </w:tcPr>
          <w:p w14:paraId="68278351" w14:textId="77777777" w:rsidR="00FB2308" w:rsidRDefault="00FB2308" w:rsidP="00746F90">
            <w:pPr>
              <w:spacing w:after="120" w:line="252" w:lineRule="auto"/>
              <w:jc w:val="right"/>
              <w:rPr>
                <w:rFonts w:ascii="Calibri" w:eastAsia="MS PGothic" w:hAnsi="Calibri" w:cs="Calibri"/>
              </w:rPr>
            </w:pPr>
            <w:r>
              <w:t>82,031</w:t>
            </w:r>
          </w:p>
        </w:tc>
        <w:tc>
          <w:tcPr>
            <w:tcW w:w="908" w:type="dxa"/>
            <w:tcMar>
              <w:top w:w="0" w:type="dxa"/>
              <w:left w:w="108" w:type="dxa"/>
              <w:bottom w:w="0" w:type="dxa"/>
              <w:right w:w="108" w:type="dxa"/>
            </w:tcMar>
            <w:hideMark/>
          </w:tcPr>
          <w:p w14:paraId="4EE5AA98" w14:textId="77777777" w:rsidR="00FB2308" w:rsidRDefault="00FB2308" w:rsidP="00746F90">
            <w:pPr>
              <w:spacing w:after="120" w:line="252" w:lineRule="auto"/>
              <w:jc w:val="right"/>
              <w:rPr>
                <w:rFonts w:ascii="Calibri" w:eastAsia="MS PGothic" w:hAnsi="Calibri" w:cs="Calibri"/>
              </w:rPr>
            </w:pPr>
            <w:r>
              <w:t>7</w:t>
            </w:r>
          </w:p>
        </w:tc>
      </w:tr>
      <w:tr w:rsidR="00FB2308" w14:paraId="663450C8" w14:textId="77777777" w:rsidTr="00FB2308">
        <w:tc>
          <w:tcPr>
            <w:tcW w:w="2178" w:type="dxa"/>
            <w:tcMar>
              <w:top w:w="0" w:type="dxa"/>
              <w:left w:w="108" w:type="dxa"/>
              <w:bottom w:w="0" w:type="dxa"/>
              <w:right w:w="108" w:type="dxa"/>
            </w:tcMar>
            <w:hideMark/>
          </w:tcPr>
          <w:p w14:paraId="173F6DAF" w14:textId="77777777" w:rsidR="00FB2308" w:rsidRDefault="00FB2308">
            <w:pPr>
              <w:spacing w:after="120" w:line="252" w:lineRule="auto"/>
              <w:rPr>
                <w:rFonts w:ascii="Calibri" w:eastAsia="MS PGothic" w:hAnsi="Calibri" w:cs="Calibri"/>
              </w:rPr>
            </w:pPr>
            <w:r>
              <w:t>Low</w:t>
            </w:r>
          </w:p>
        </w:tc>
        <w:tc>
          <w:tcPr>
            <w:tcW w:w="2250" w:type="dxa"/>
            <w:tcMar>
              <w:top w:w="0" w:type="dxa"/>
              <w:left w:w="108" w:type="dxa"/>
              <w:bottom w:w="0" w:type="dxa"/>
              <w:right w:w="108" w:type="dxa"/>
            </w:tcMar>
            <w:hideMark/>
          </w:tcPr>
          <w:p w14:paraId="775F9D59" w14:textId="77777777" w:rsidR="00FB2308" w:rsidRDefault="00FB2308" w:rsidP="00746F90">
            <w:pPr>
              <w:spacing w:after="120" w:line="252" w:lineRule="auto"/>
              <w:jc w:val="right"/>
              <w:rPr>
                <w:rFonts w:ascii="Calibri" w:eastAsia="MS PGothic" w:hAnsi="Calibri" w:cs="Calibri"/>
              </w:rPr>
            </w:pPr>
            <w:r>
              <w:t>14</w:t>
            </w:r>
          </w:p>
        </w:tc>
        <w:tc>
          <w:tcPr>
            <w:tcW w:w="1119" w:type="dxa"/>
            <w:tcMar>
              <w:top w:w="0" w:type="dxa"/>
              <w:left w:w="108" w:type="dxa"/>
              <w:bottom w:w="0" w:type="dxa"/>
              <w:right w:w="108" w:type="dxa"/>
            </w:tcMar>
            <w:hideMark/>
          </w:tcPr>
          <w:p w14:paraId="2A246A2D" w14:textId="77777777" w:rsidR="00FB2308" w:rsidRDefault="00FB2308" w:rsidP="00746F90">
            <w:pPr>
              <w:spacing w:after="120" w:line="252" w:lineRule="auto"/>
              <w:jc w:val="right"/>
              <w:rPr>
                <w:rFonts w:ascii="Calibri" w:eastAsia="MS PGothic" w:hAnsi="Calibri" w:cs="Calibri"/>
              </w:rPr>
            </w:pPr>
            <w:r>
              <w:t>148,966</w:t>
            </w:r>
          </w:p>
        </w:tc>
        <w:tc>
          <w:tcPr>
            <w:tcW w:w="908" w:type="dxa"/>
            <w:tcMar>
              <w:top w:w="0" w:type="dxa"/>
              <w:left w:w="108" w:type="dxa"/>
              <w:bottom w:w="0" w:type="dxa"/>
              <w:right w:w="108" w:type="dxa"/>
            </w:tcMar>
            <w:hideMark/>
          </w:tcPr>
          <w:p w14:paraId="520A0A27" w14:textId="77777777" w:rsidR="00FB2308" w:rsidRDefault="00FB2308" w:rsidP="00746F90">
            <w:pPr>
              <w:spacing w:after="120" w:line="252" w:lineRule="auto"/>
              <w:jc w:val="right"/>
              <w:rPr>
                <w:rFonts w:ascii="Calibri" w:eastAsia="MS PGothic" w:hAnsi="Calibri" w:cs="Calibri"/>
              </w:rPr>
            </w:pPr>
            <w:r>
              <w:t>12</w:t>
            </w:r>
          </w:p>
        </w:tc>
      </w:tr>
      <w:tr w:rsidR="00FB2308" w14:paraId="5DB91E57" w14:textId="77777777" w:rsidTr="00FB2308">
        <w:tc>
          <w:tcPr>
            <w:tcW w:w="2178" w:type="dxa"/>
            <w:tcMar>
              <w:top w:w="0" w:type="dxa"/>
              <w:left w:w="108" w:type="dxa"/>
              <w:bottom w:w="0" w:type="dxa"/>
              <w:right w:w="108" w:type="dxa"/>
            </w:tcMar>
            <w:hideMark/>
          </w:tcPr>
          <w:p w14:paraId="000C07F7" w14:textId="77777777" w:rsidR="00FB2308" w:rsidRDefault="00FB2308">
            <w:pPr>
              <w:spacing w:after="120" w:line="252" w:lineRule="auto"/>
              <w:rPr>
                <w:rFonts w:ascii="Calibri" w:eastAsia="MS PGothic" w:hAnsi="Calibri" w:cs="Calibri"/>
              </w:rPr>
            </w:pPr>
            <w:r>
              <w:t>Medium</w:t>
            </w:r>
          </w:p>
        </w:tc>
        <w:tc>
          <w:tcPr>
            <w:tcW w:w="2250" w:type="dxa"/>
            <w:tcMar>
              <w:top w:w="0" w:type="dxa"/>
              <w:left w:w="108" w:type="dxa"/>
              <w:bottom w:w="0" w:type="dxa"/>
              <w:right w:w="108" w:type="dxa"/>
            </w:tcMar>
            <w:hideMark/>
          </w:tcPr>
          <w:p w14:paraId="689A3325" w14:textId="77777777" w:rsidR="00FB2308" w:rsidRDefault="00FB2308" w:rsidP="00746F90">
            <w:pPr>
              <w:spacing w:after="120" w:line="252" w:lineRule="auto"/>
              <w:jc w:val="right"/>
              <w:rPr>
                <w:rFonts w:ascii="Calibri" w:eastAsia="MS PGothic" w:hAnsi="Calibri" w:cs="Calibri"/>
              </w:rPr>
            </w:pPr>
            <w:r>
              <w:t>27</w:t>
            </w:r>
          </w:p>
        </w:tc>
        <w:tc>
          <w:tcPr>
            <w:tcW w:w="1119" w:type="dxa"/>
            <w:tcMar>
              <w:top w:w="0" w:type="dxa"/>
              <w:left w:w="108" w:type="dxa"/>
              <w:bottom w:w="0" w:type="dxa"/>
              <w:right w:w="108" w:type="dxa"/>
            </w:tcMar>
            <w:hideMark/>
          </w:tcPr>
          <w:p w14:paraId="7EA8F6EB" w14:textId="77777777" w:rsidR="00FB2308" w:rsidRDefault="00FB2308" w:rsidP="00746F90">
            <w:pPr>
              <w:spacing w:after="120" w:line="252" w:lineRule="auto"/>
              <w:jc w:val="right"/>
              <w:rPr>
                <w:rFonts w:ascii="Calibri" w:eastAsia="MS PGothic" w:hAnsi="Calibri" w:cs="Calibri"/>
              </w:rPr>
            </w:pPr>
            <w:r>
              <w:t>340,726</w:t>
            </w:r>
          </w:p>
        </w:tc>
        <w:tc>
          <w:tcPr>
            <w:tcW w:w="908" w:type="dxa"/>
            <w:tcMar>
              <w:top w:w="0" w:type="dxa"/>
              <w:left w:w="108" w:type="dxa"/>
              <w:bottom w:w="0" w:type="dxa"/>
              <w:right w:w="108" w:type="dxa"/>
            </w:tcMar>
            <w:hideMark/>
          </w:tcPr>
          <w:p w14:paraId="3315931A" w14:textId="77777777" w:rsidR="00FB2308" w:rsidRDefault="00FB2308" w:rsidP="00746F90">
            <w:pPr>
              <w:spacing w:after="120" w:line="252" w:lineRule="auto"/>
              <w:jc w:val="right"/>
              <w:rPr>
                <w:rFonts w:ascii="Calibri" w:eastAsia="MS PGothic" w:hAnsi="Calibri" w:cs="Calibri"/>
              </w:rPr>
            </w:pPr>
            <w:r>
              <w:t>28</w:t>
            </w:r>
          </w:p>
        </w:tc>
      </w:tr>
      <w:tr w:rsidR="00FB2308" w14:paraId="2E284E95" w14:textId="77777777" w:rsidTr="00FB2308">
        <w:trPr>
          <w:trHeight w:val="396"/>
        </w:trPr>
        <w:tc>
          <w:tcPr>
            <w:tcW w:w="2178" w:type="dxa"/>
            <w:tcBorders>
              <w:top w:val="nil"/>
              <w:left w:val="nil"/>
              <w:bottom w:val="double" w:sz="4" w:space="0" w:color="auto"/>
              <w:right w:val="nil"/>
            </w:tcBorders>
            <w:tcMar>
              <w:top w:w="0" w:type="dxa"/>
              <w:left w:w="108" w:type="dxa"/>
              <w:bottom w:w="0" w:type="dxa"/>
              <w:right w:w="108" w:type="dxa"/>
            </w:tcMar>
            <w:hideMark/>
          </w:tcPr>
          <w:p w14:paraId="21CDDDE7" w14:textId="77777777" w:rsidR="00FB2308" w:rsidRDefault="00FB2308">
            <w:pPr>
              <w:spacing w:after="120" w:line="252" w:lineRule="auto"/>
              <w:rPr>
                <w:rFonts w:ascii="Calibri" w:eastAsia="MS PGothic" w:hAnsi="Calibri" w:cs="Calibri"/>
              </w:rPr>
            </w:pPr>
            <w:r>
              <w:t>High</w:t>
            </w:r>
          </w:p>
        </w:tc>
        <w:tc>
          <w:tcPr>
            <w:tcW w:w="2250" w:type="dxa"/>
            <w:tcBorders>
              <w:top w:val="nil"/>
              <w:left w:val="nil"/>
              <w:bottom w:val="double" w:sz="4" w:space="0" w:color="auto"/>
              <w:right w:val="nil"/>
            </w:tcBorders>
            <w:tcMar>
              <w:top w:w="0" w:type="dxa"/>
              <w:left w:w="108" w:type="dxa"/>
              <w:bottom w:w="0" w:type="dxa"/>
              <w:right w:w="108" w:type="dxa"/>
            </w:tcMar>
            <w:hideMark/>
          </w:tcPr>
          <w:p w14:paraId="71C6A8C7" w14:textId="77777777" w:rsidR="00FB2308" w:rsidRDefault="00FB2308" w:rsidP="00746F90">
            <w:pPr>
              <w:spacing w:after="120" w:line="252" w:lineRule="auto"/>
              <w:jc w:val="right"/>
              <w:rPr>
                <w:rFonts w:ascii="Calibri" w:eastAsia="MS PGothic" w:hAnsi="Calibri" w:cs="Calibri"/>
              </w:rPr>
            </w:pPr>
            <w:r>
              <w:t>85</w:t>
            </w:r>
          </w:p>
        </w:tc>
        <w:tc>
          <w:tcPr>
            <w:tcW w:w="1119" w:type="dxa"/>
            <w:tcBorders>
              <w:top w:val="nil"/>
              <w:left w:val="nil"/>
              <w:bottom w:val="double" w:sz="4" w:space="0" w:color="auto"/>
              <w:right w:val="nil"/>
            </w:tcBorders>
            <w:tcMar>
              <w:top w:w="0" w:type="dxa"/>
              <w:left w:w="108" w:type="dxa"/>
              <w:bottom w:w="0" w:type="dxa"/>
              <w:right w:w="108" w:type="dxa"/>
            </w:tcMar>
            <w:hideMark/>
          </w:tcPr>
          <w:p w14:paraId="6D45CD88" w14:textId="77777777" w:rsidR="00FB2308" w:rsidRDefault="00FB2308" w:rsidP="00746F90">
            <w:pPr>
              <w:spacing w:after="120" w:line="252" w:lineRule="auto"/>
              <w:jc w:val="right"/>
              <w:rPr>
                <w:rFonts w:ascii="Calibri" w:eastAsia="MS PGothic" w:hAnsi="Calibri" w:cs="Calibri"/>
              </w:rPr>
            </w:pPr>
            <w:r>
              <w:t>504,740</w:t>
            </w:r>
          </w:p>
        </w:tc>
        <w:tc>
          <w:tcPr>
            <w:tcW w:w="908" w:type="dxa"/>
            <w:tcBorders>
              <w:top w:val="nil"/>
              <w:left w:val="nil"/>
              <w:bottom w:val="double" w:sz="4" w:space="0" w:color="auto"/>
              <w:right w:val="nil"/>
            </w:tcBorders>
            <w:tcMar>
              <w:top w:w="0" w:type="dxa"/>
              <w:left w:w="108" w:type="dxa"/>
              <w:bottom w:w="0" w:type="dxa"/>
              <w:right w:w="108" w:type="dxa"/>
            </w:tcMar>
            <w:hideMark/>
          </w:tcPr>
          <w:p w14:paraId="29EAC22F" w14:textId="77777777" w:rsidR="00FB2308" w:rsidRDefault="00FB2308" w:rsidP="00746F90">
            <w:pPr>
              <w:spacing w:after="120" w:line="252" w:lineRule="auto"/>
              <w:jc w:val="right"/>
              <w:rPr>
                <w:rFonts w:ascii="Calibri" w:eastAsia="MS PGothic" w:hAnsi="Calibri" w:cs="Calibri"/>
              </w:rPr>
            </w:pPr>
            <w:r>
              <w:t>41</w:t>
            </w:r>
          </w:p>
        </w:tc>
      </w:tr>
      <w:tr w:rsidR="00FB2308" w14:paraId="0466B20A" w14:textId="77777777" w:rsidTr="00FB2308">
        <w:tc>
          <w:tcPr>
            <w:tcW w:w="2178" w:type="dxa"/>
            <w:tcBorders>
              <w:top w:val="nil"/>
              <w:left w:val="nil"/>
              <w:bottom w:val="single" w:sz="8" w:space="0" w:color="auto"/>
              <w:right w:val="nil"/>
            </w:tcBorders>
            <w:tcMar>
              <w:top w:w="0" w:type="dxa"/>
              <w:left w:w="108" w:type="dxa"/>
              <w:bottom w:w="0" w:type="dxa"/>
              <w:right w:w="108" w:type="dxa"/>
            </w:tcMar>
            <w:hideMark/>
          </w:tcPr>
          <w:p w14:paraId="5B5B64DF" w14:textId="77777777" w:rsidR="00FB2308" w:rsidRDefault="00FB2308">
            <w:pPr>
              <w:spacing w:after="120" w:line="252" w:lineRule="auto"/>
              <w:rPr>
                <w:rFonts w:ascii="Calibri" w:eastAsia="MS PGothic" w:hAnsi="Calibri" w:cs="Calibri"/>
              </w:rPr>
            </w:pPr>
            <w:r>
              <w:t>Known Severity Total</w:t>
            </w:r>
          </w:p>
        </w:tc>
        <w:tc>
          <w:tcPr>
            <w:tcW w:w="2250" w:type="dxa"/>
            <w:tcBorders>
              <w:top w:val="nil"/>
              <w:left w:val="nil"/>
              <w:bottom w:val="single" w:sz="8" w:space="0" w:color="auto"/>
              <w:right w:val="nil"/>
            </w:tcBorders>
            <w:tcMar>
              <w:top w:w="0" w:type="dxa"/>
              <w:left w:w="108" w:type="dxa"/>
              <w:bottom w:w="0" w:type="dxa"/>
              <w:right w:w="108" w:type="dxa"/>
            </w:tcMar>
          </w:tcPr>
          <w:p w14:paraId="5C39A86F" w14:textId="77777777" w:rsidR="00FB2308" w:rsidRDefault="00FB2308" w:rsidP="00746F90">
            <w:pPr>
              <w:spacing w:after="120" w:line="252" w:lineRule="auto"/>
              <w:jc w:val="right"/>
              <w:rPr>
                <w:rFonts w:ascii="Calibri" w:eastAsia="MS PGothic" w:hAnsi="Calibri" w:cs="Calibri"/>
              </w:rPr>
            </w:pPr>
          </w:p>
        </w:tc>
        <w:tc>
          <w:tcPr>
            <w:tcW w:w="1119" w:type="dxa"/>
            <w:tcBorders>
              <w:top w:val="nil"/>
              <w:left w:val="nil"/>
              <w:bottom w:val="single" w:sz="8" w:space="0" w:color="auto"/>
              <w:right w:val="nil"/>
            </w:tcBorders>
            <w:tcMar>
              <w:top w:w="0" w:type="dxa"/>
              <w:left w:w="108" w:type="dxa"/>
              <w:bottom w:w="0" w:type="dxa"/>
              <w:right w:w="108" w:type="dxa"/>
            </w:tcMar>
            <w:hideMark/>
          </w:tcPr>
          <w:p w14:paraId="2AFF99F8" w14:textId="77777777" w:rsidR="00FB2308" w:rsidRDefault="00FB2308" w:rsidP="00746F90">
            <w:pPr>
              <w:spacing w:after="120" w:line="252" w:lineRule="auto"/>
              <w:jc w:val="right"/>
              <w:rPr>
                <w:rFonts w:ascii="Calibri" w:eastAsia="MS PGothic" w:hAnsi="Calibri" w:cs="Calibri"/>
              </w:rPr>
            </w:pPr>
            <w:r>
              <w:t>1,076,463</w:t>
            </w:r>
          </w:p>
        </w:tc>
        <w:tc>
          <w:tcPr>
            <w:tcW w:w="908" w:type="dxa"/>
            <w:tcBorders>
              <w:top w:val="nil"/>
              <w:left w:val="nil"/>
              <w:bottom w:val="single" w:sz="8" w:space="0" w:color="auto"/>
              <w:right w:val="nil"/>
            </w:tcBorders>
            <w:tcMar>
              <w:top w:w="0" w:type="dxa"/>
              <w:left w:w="108" w:type="dxa"/>
              <w:bottom w:w="0" w:type="dxa"/>
              <w:right w:w="108" w:type="dxa"/>
            </w:tcMar>
            <w:hideMark/>
          </w:tcPr>
          <w:p w14:paraId="2AC28B4C" w14:textId="77777777" w:rsidR="00FB2308" w:rsidRDefault="00FB2308" w:rsidP="00746F90">
            <w:pPr>
              <w:spacing w:after="120" w:line="252" w:lineRule="auto"/>
              <w:jc w:val="right"/>
              <w:rPr>
                <w:rFonts w:ascii="Calibri" w:eastAsia="MS PGothic" w:hAnsi="Calibri" w:cs="Calibri"/>
              </w:rPr>
            </w:pPr>
            <w:r>
              <w:t>88</w:t>
            </w:r>
          </w:p>
        </w:tc>
      </w:tr>
      <w:tr w:rsidR="00FB2308" w14:paraId="5C808B79" w14:textId="77777777" w:rsidTr="00FB2308">
        <w:tc>
          <w:tcPr>
            <w:tcW w:w="2178" w:type="dxa"/>
            <w:tcBorders>
              <w:top w:val="nil"/>
              <w:left w:val="nil"/>
              <w:bottom w:val="double" w:sz="12" w:space="0" w:color="auto"/>
              <w:right w:val="nil"/>
            </w:tcBorders>
            <w:tcMar>
              <w:top w:w="0" w:type="dxa"/>
              <w:left w:w="108" w:type="dxa"/>
              <w:bottom w:w="0" w:type="dxa"/>
              <w:right w:w="108" w:type="dxa"/>
            </w:tcMar>
            <w:hideMark/>
          </w:tcPr>
          <w:p w14:paraId="72C8CB6C" w14:textId="205278CD" w:rsidR="00FB2308" w:rsidRDefault="00FD4A32">
            <w:pPr>
              <w:spacing w:after="120" w:line="252" w:lineRule="auto"/>
              <w:rPr>
                <w:rFonts w:ascii="Calibri" w:eastAsia="MS PGothic" w:hAnsi="Calibri" w:cs="Calibri"/>
              </w:rPr>
            </w:pPr>
            <w:r>
              <w:t>Unclassified</w:t>
            </w:r>
          </w:p>
        </w:tc>
        <w:tc>
          <w:tcPr>
            <w:tcW w:w="2250" w:type="dxa"/>
            <w:tcBorders>
              <w:top w:val="nil"/>
              <w:left w:val="nil"/>
              <w:bottom w:val="double" w:sz="12" w:space="0" w:color="auto"/>
              <w:right w:val="nil"/>
            </w:tcBorders>
            <w:tcMar>
              <w:top w:w="0" w:type="dxa"/>
              <w:left w:w="108" w:type="dxa"/>
              <w:bottom w:w="0" w:type="dxa"/>
              <w:right w:w="108" w:type="dxa"/>
            </w:tcMar>
          </w:tcPr>
          <w:p w14:paraId="1C30EB5E" w14:textId="77777777" w:rsidR="00FB2308" w:rsidRDefault="00FB2308" w:rsidP="00746F90">
            <w:pPr>
              <w:spacing w:after="120" w:line="252" w:lineRule="auto"/>
              <w:jc w:val="right"/>
              <w:rPr>
                <w:rFonts w:ascii="Calibri" w:eastAsia="MS PGothic" w:hAnsi="Calibri" w:cs="Calibri"/>
              </w:rPr>
            </w:pPr>
          </w:p>
        </w:tc>
        <w:tc>
          <w:tcPr>
            <w:tcW w:w="1119" w:type="dxa"/>
            <w:tcBorders>
              <w:top w:val="nil"/>
              <w:left w:val="nil"/>
              <w:bottom w:val="double" w:sz="12" w:space="0" w:color="auto"/>
              <w:right w:val="nil"/>
            </w:tcBorders>
            <w:tcMar>
              <w:top w:w="0" w:type="dxa"/>
              <w:left w:w="108" w:type="dxa"/>
              <w:bottom w:w="0" w:type="dxa"/>
              <w:right w:w="108" w:type="dxa"/>
            </w:tcMar>
            <w:hideMark/>
          </w:tcPr>
          <w:p w14:paraId="1BC235AA" w14:textId="77777777" w:rsidR="00FB2308" w:rsidRDefault="00FB2308" w:rsidP="00746F90">
            <w:pPr>
              <w:spacing w:after="120" w:line="252" w:lineRule="auto"/>
              <w:jc w:val="right"/>
              <w:rPr>
                <w:rFonts w:ascii="Calibri" w:eastAsia="MS PGothic" w:hAnsi="Calibri" w:cs="Calibri"/>
              </w:rPr>
            </w:pPr>
            <w:r>
              <w:t>149,399</w:t>
            </w:r>
          </w:p>
        </w:tc>
        <w:tc>
          <w:tcPr>
            <w:tcW w:w="908" w:type="dxa"/>
            <w:tcBorders>
              <w:top w:val="nil"/>
              <w:left w:val="nil"/>
              <w:bottom w:val="double" w:sz="12" w:space="0" w:color="auto"/>
              <w:right w:val="nil"/>
            </w:tcBorders>
            <w:tcMar>
              <w:top w:w="0" w:type="dxa"/>
              <w:left w:w="108" w:type="dxa"/>
              <w:bottom w:w="0" w:type="dxa"/>
              <w:right w:w="108" w:type="dxa"/>
            </w:tcMar>
            <w:hideMark/>
          </w:tcPr>
          <w:p w14:paraId="04917D4C" w14:textId="77777777" w:rsidR="00FB2308" w:rsidRDefault="00FB2308" w:rsidP="00746F90">
            <w:pPr>
              <w:spacing w:after="120" w:line="252" w:lineRule="auto"/>
              <w:jc w:val="right"/>
              <w:rPr>
                <w:rFonts w:ascii="Calibri" w:eastAsia="MS PGothic" w:hAnsi="Calibri" w:cs="Calibri"/>
              </w:rPr>
            </w:pPr>
            <w:r>
              <w:t>12</w:t>
            </w:r>
          </w:p>
        </w:tc>
      </w:tr>
      <w:tr w:rsidR="00FB2308" w14:paraId="000E6B28" w14:textId="77777777" w:rsidTr="00FB2308">
        <w:tc>
          <w:tcPr>
            <w:tcW w:w="2178" w:type="dxa"/>
            <w:tcBorders>
              <w:top w:val="nil"/>
              <w:left w:val="nil"/>
              <w:bottom w:val="single" w:sz="12" w:space="0" w:color="auto"/>
              <w:right w:val="nil"/>
            </w:tcBorders>
            <w:tcMar>
              <w:top w:w="0" w:type="dxa"/>
              <w:left w:w="108" w:type="dxa"/>
              <w:bottom w:w="0" w:type="dxa"/>
              <w:right w:w="108" w:type="dxa"/>
            </w:tcMar>
            <w:hideMark/>
          </w:tcPr>
          <w:p w14:paraId="4A738A02" w14:textId="77777777" w:rsidR="00FB2308" w:rsidRDefault="00FB2308">
            <w:pPr>
              <w:spacing w:after="120" w:line="252" w:lineRule="auto"/>
              <w:rPr>
                <w:rFonts w:ascii="Calibri" w:eastAsia="MS PGothic" w:hAnsi="Calibri" w:cs="Calibri"/>
              </w:rPr>
            </w:pPr>
            <w:r>
              <w:t>Total Area</w:t>
            </w:r>
          </w:p>
        </w:tc>
        <w:tc>
          <w:tcPr>
            <w:tcW w:w="2250" w:type="dxa"/>
            <w:tcBorders>
              <w:top w:val="nil"/>
              <w:left w:val="nil"/>
              <w:bottom w:val="single" w:sz="12" w:space="0" w:color="auto"/>
              <w:right w:val="nil"/>
            </w:tcBorders>
            <w:tcMar>
              <w:top w:w="0" w:type="dxa"/>
              <w:left w:w="108" w:type="dxa"/>
              <w:bottom w:w="0" w:type="dxa"/>
              <w:right w:w="108" w:type="dxa"/>
            </w:tcMar>
          </w:tcPr>
          <w:p w14:paraId="4D823B87" w14:textId="77777777" w:rsidR="00FB2308" w:rsidRDefault="00FB2308" w:rsidP="00746F90">
            <w:pPr>
              <w:spacing w:after="120" w:line="252" w:lineRule="auto"/>
              <w:jc w:val="right"/>
              <w:rPr>
                <w:rFonts w:ascii="Calibri" w:eastAsia="MS PGothic" w:hAnsi="Calibri" w:cs="Calibri"/>
              </w:rPr>
            </w:pPr>
          </w:p>
        </w:tc>
        <w:tc>
          <w:tcPr>
            <w:tcW w:w="1119" w:type="dxa"/>
            <w:tcBorders>
              <w:top w:val="nil"/>
              <w:left w:val="nil"/>
              <w:bottom w:val="single" w:sz="12" w:space="0" w:color="auto"/>
              <w:right w:val="nil"/>
            </w:tcBorders>
            <w:tcMar>
              <w:top w:w="0" w:type="dxa"/>
              <w:left w:w="108" w:type="dxa"/>
              <w:bottom w:w="0" w:type="dxa"/>
              <w:right w:w="108" w:type="dxa"/>
            </w:tcMar>
            <w:hideMark/>
          </w:tcPr>
          <w:p w14:paraId="18328ADA" w14:textId="77777777" w:rsidR="00FB2308" w:rsidRDefault="00FB2308" w:rsidP="00746F90">
            <w:pPr>
              <w:spacing w:after="120" w:line="252" w:lineRule="auto"/>
              <w:jc w:val="right"/>
              <w:rPr>
                <w:rFonts w:ascii="Calibri" w:eastAsia="MS PGothic" w:hAnsi="Calibri" w:cs="Calibri"/>
              </w:rPr>
            </w:pPr>
            <w:r>
              <w:t>1,225,862</w:t>
            </w:r>
          </w:p>
        </w:tc>
        <w:tc>
          <w:tcPr>
            <w:tcW w:w="908" w:type="dxa"/>
            <w:tcBorders>
              <w:top w:val="nil"/>
              <w:left w:val="nil"/>
              <w:bottom w:val="single" w:sz="12" w:space="0" w:color="auto"/>
              <w:right w:val="nil"/>
            </w:tcBorders>
            <w:tcMar>
              <w:top w:w="0" w:type="dxa"/>
              <w:left w:w="108" w:type="dxa"/>
              <w:bottom w:w="0" w:type="dxa"/>
              <w:right w:w="108" w:type="dxa"/>
            </w:tcMar>
            <w:hideMark/>
          </w:tcPr>
          <w:p w14:paraId="66059ABE" w14:textId="77777777" w:rsidR="00FB2308" w:rsidRDefault="00FB2308" w:rsidP="00746F90">
            <w:pPr>
              <w:spacing w:after="120" w:line="252" w:lineRule="auto"/>
              <w:jc w:val="right"/>
              <w:rPr>
                <w:rFonts w:ascii="Calibri" w:eastAsia="MS PGothic" w:hAnsi="Calibri" w:cs="Calibri"/>
              </w:rPr>
            </w:pPr>
            <w:r>
              <w:t>100</w:t>
            </w:r>
          </w:p>
        </w:tc>
      </w:tr>
    </w:tbl>
    <w:p w14:paraId="1BA51243" w14:textId="33EA6112" w:rsidR="007735C0" w:rsidRPr="000C33A2" w:rsidRDefault="00FD4A32" w:rsidP="0087334D">
      <w:r>
        <w:t xml:space="preserve">*Estimate of % volume killed </w:t>
      </w:r>
      <w:r w:rsidR="0058741A">
        <w:t xml:space="preserve">in each category </w:t>
      </w:r>
      <w:r>
        <w:t xml:space="preserve">is </w:t>
      </w:r>
      <w:r w:rsidR="0058741A">
        <w:t xml:space="preserve">derived from </w:t>
      </w:r>
      <w:r>
        <w:t>post-fire</w:t>
      </w:r>
      <w:r w:rsidR="0058741A">
        <w:t xml:space="preserve"> field measurements of volume loss in monitoring plots within the fire perimeter.</w:t>
      </w:r>
    </w:p>
    <w:p w14:paraId="42EC7642" w14:textId="0C942024" w:rsidR="00461B5E" w:rsidRDefault="008562DD" w:rsidP="00461B5E">
      <w:pPr>
        <w:pStyle w:val="Heading2"/>
      </w:pPr>
      <w:bookmarkStart w:id="33" w:name="_Toc503934748"/>
      <w:r>
        <w:t>Effects on forest ecosystems and age class</w:t>
      </w:r>
      <w:r w:rsidR="000D00D1">
        <w:t>es</w:t>
      </w:r>
      <w:r>
        <w:t xml:space="preserve">, effects of burn severity on </w:t>
      </w:r>
      <w:r w:rsidR="00461B5E">
        <w:t>timber volume</w:t>
      </w:r>
      <w:bookmarkEnd w:id="33"/>
      <w:r>
        <w:t xml:space="preserve"> </w:t>
      </w:r>
    </w:p>
    <w:p w14:paraId="04818FFB" w14:textId="36B1EF22" w:rsidR="00461B5E" w:rsidRPr="00461B5E" w:rsidRDefault="00544D8F" w:rsidP="00303231">
      <w:pPr>
        <w:pStyle w:val="Caption"/>
        <w:jc w:val="both"/>
        <w:rPr>
          <w:i w:val="0"/>
          <w:noProof/>
          <w:color w:val="auto"/>
          <w:sz w:val="22"/>
          <w:szCs w:val="22"/>
        </w:rPr>
      </w:pPr>
      <w:r>
        <w:rPr>
          <w:i w:val="0"/>
          <w:color w:val="auto"/>
          <w:sz w:val="22"/>
          <w:szCs w:val="22"/>
        </w:rPr>
        <w:t xml:space="preserve">The </w:t>
      </w:r>
      <w:r w:rsidR="006139B7">
        <w:rPr>
          <w:i w:val="0"/>
          <w:color w:val="auto"/>
          <w:sz w:val="22"/>
          <w:szCs w:val="22"/>
        </w:rPr>
        <w:t xml:space="preserve">2017 </w:t>
      </w:r>
      <w:r>
        <w:rPr>
          <w:i w:val="0"/>
          <w:color w:val="auto"/>
          <w:sz w:val="22"/>
          <w:szCs w:val="22"/>
        </w:rPr>
        <w:t>wildfires affected o</w:t>
      </w:r>
      <w:r w:rsidR="00461B5E" w:rsidRPr="00461B5E">
        <w:rPr>
          <w:i w:val="0"/>
          <w:color w:val="auto"/>
          <w:sz w:val="22"/>
          <w:szCs w:val="22"/>
        </w:rPr>
        <w:t>ne million hectares</w:t>
      </w:r>
      <w:r>
        <w:rPr>
          <w:i w:val="0"/>
          <w:color w:val="auto"/>
          <w:sz w:val="22"/>
          <w:szCs w:val="22"/>
        </w:rPr>
        <w:t xml:space="preserve"> of forest</w:t>
      </w:r>
      <w:r w:rsidR="00B60F15">
        <w:rPr>
          <w:i w:val="0"/>
          <w:color w:val="auto"/>
          <w:sz w:val="22"/>
          <w:szCs w:val="22"/>
        </w:rPr>
        <w:t>,</w:t>
      </w:r>
      <w:r w:rsidR="00461B5E" w:rsidRPr="00461B5E">
        <w:rPr>
          <w:i w:val="0"/>
          <w:color w:val="auto"/>
          <w:sz w:val="22"/>
          <w:szCs w:val="22"/>
        </w:rPr>
        <w:t xml:space="preserve"> </w:t>
      </w:r>
      <w:r w:rsidR="00B60F15" w:rsidRPr="00461B5E">
        <w:rPr>
          <w:i w:val="0"/>
          <w:color w:val="auto"/>
          <w:sz w:val="22"/>
          <w:szCs w:val="22"/>
        </w:rPr>
        <w:t xml:space="preserve">nearly 2% of the forested area of the province (55 million hectares). </w:t>
      </w:r>
      <w:r w:rsidR="00B60F15">
        <w:rPr>
          <w:i w:val="0"/>
          <w:color w:val="auto"/>
          <w:sz w:val="22"/>
          <w:szCs w:val="22"/>
        </w:rPr>
        <w:t>T</w:t>
      </w:r>
      <w:r w:rsidR="00461B5E" w:rsidRPr="00461B5E">
        <w:rPr>
          <w:i w:val="0"/>
          <w:color w:val="auto"/>
          <w:sz w:val="22"/>
          <w:szCs w:val="22"/>
        </w:rPr>
        <w:t xml:space="preserve">he remaining 200,000 hectares </w:t>
      </w:r>
      <w:r>
        <w:rPr>
          <w:i w:val="0"/>
          <w:color w:val="auto"/>
          <w:sz w:val="22"/>
          <w:szCs w:val="22"/>
        </w:rPr>
        <w:t xml:space="preserve">affected by wildfire </w:t>
      </w:r>
      <w:r w:rsidR="00461B5E" w:rsidRPr="00461B5E">
        <w:rPr>
          <w:i w:val="0"/>
          <w:color w:val="auto"/>
          <w:sz w:val="22"/>
          <w:szCs w:val="22"/>
        </w:rPr>
        <w:t>was non-forested; mostly grasslands</w:t>
      </w:r>
      <w:r w:rsidR="00A11FC5">
        <w:rPr>
          <w:i w:val="0"/>
          <w:color w:val="auto"/>
          <w:sz w:val="22"/>
          <w:szCs w:val="22"/>
        </w:rPr>
        <w:t>.</w:t>
      </w:r>
      <w:r w:rsidR="00461B5E" w:rsidRPr="00461B5E">
        <w:rPr>
          <w:i w:val="0"/>
          <w:color w:val="auto"/>
          <w:sz w:val="22"/>
          <w:szCs w:val="22"/>
        </w:rPr>
        <w:t xml:space="preserve"> Nearly 80% of </w:t>
      </w:r>
      <w:r w:rsidR="00A11FC5">
        <w:rPr>
          <w:i w:val="0"/>
          <w:color w:val="auto"/>
          <w:sz w:val="22"/>
          <w:szCs w:val="22"/>
        </w:rPr>
        <w:t>the forested area</w:t>
      </w:r>
      <w:r w:rsidR="00A11FC5" w:rsidRPr="00461B5E">
        <w:rPr>
          <w:i w:val="0"/>
          <w:color w:val="auto"/>
          <w:sz w:val="22"/>
          <w:szCs w:val="22"/>
        </w:rPr>
        <w:t xml:space="preserve"> </w:t>
      </w:r>
      <w:r w:rsidR="00461B5E" w:rsidRPr="00461B5E">
        <w:rPr>
          <w:i w:val="0"/>
          <w:color w:val="auto"/>
          <w:sz w:val="22"/>
          <w:szCs w:val="22"/>
        </w:rPr>
        <w:t>was mature forest (greater than 80 years old) and nearly 25% was old forest (greater than 140 years old</w:t>
      </w:r>
      <w:r w:rsidR="009E4F62">
        <w:rPr>
          <w:i w:val="0"/>
          <w:color w:val="auto"/>
          <w:sz w:val="22"/>
          <w:szCs w:val="22"/>
        </w:rPr>
        <w:t xml:space="preserve">) </w:t>
      </w:r>
      <w:r w:rsidR="003830ED">
        <w:rPr>
          <w:i w:val="0"/>
          <w:color w:val="auto"/>
          <w:sz w:val="22"/>
          <w:szCs w:val="22"/>
        </w:rPr>
        <w:t>(</w:t>
      </w:r>
      <w:r w:rsidR="00461B5E" w:rsidRPr="00461B5E">
        <w:rPr>
          <w:i w:val="0"/>
          <w:color w:val="auto"/>
          <w:sz w:val="22"/>
          <w:szCs w:val="22"/>
        </w:rPr>
        <w:fldChar w:fldCharType="begin"/>
      </w:r>
      <w:r w:rsidR="00461B5E" w:rsidRPr="00461B5E">
        <w:rPr>
          <w:i w:val="0"/>
          <w:color w:val="auto"/>
          <w:sz w:val="22"/>
          <w:szCs w:val="22"/>
        </w:rPr>
        <w:instrText xml:space="preserve"> REF _Ref497564507 \h  \* MERGEFORMAT </w:instrText>
      </w:r>
      <w:r w:rsidR="00461B5E" w:rsidRPr="00461B5E">
        <w:rPr>
          <w:i w:val="0"/>
          <w:color w:val="auto"/>
          <w:sz w:val="22"/>
          <w:szCs w:val="22"/>
        </w:rPr>
      </w:r>
      <w:r w:rsidR="00461B5E" w:rsidRPr="00461B5E">
        <w:rPr>
          <w:i w:val="0"/>
          <w:color w:val="auto"/>
          <w:sz w:val="22"/>
          <w:szCs w:val="22"/>
        </w:rPr>
        <w:fldChar w:fldCharType="separate"/>
      </w:r>
      <w:r w:rsidR="00EA1ED1" w:rsidRPr="00EA1ED1">
        <w:rPr>
          <w:i w:val="0"/>
          <w:color w:val="auto"/>
          <w:sz w:val="22"/>
          <w:szCs w:val="22"/>
        </w:rPr>
        <w:t xml:space="preserve">Figure </w:t>
      </w:r>
      <w:r w:rsidR="00EA1ED1" w:rsidRPr="00EA1ED1">
        <w:rPr>
          <w:i w:val="0"/>
          <w:noProof/>
          <w:color w:val="auto"/>
          <w:sz w:val="22"/>
          <w:szCs w:val="22"/>
        </w:rPr>
        <w:t>4</w:t>
      </w:r>
      <w:r w:rsidR="00461B5E" w:rsidRPr="00461B5E">
        <w:rPr>
          <w:i w:val="0"/>
          <w:color w:val="auto"/>
          <w:sz w:val="22"/>
          <w:szCs w:val="22"/>
        </w:rPr>
        <w:fldChar w:fldCharType="end"/>
      </w:r>
      <w:r w:rsidR="00461B5E" w:rsidRPr="00461B5E">
        <w:rPr>
          <w:i w:val="0"/>
          <w:color w:val="auto"/>
          <w:sz w:val="22"/>
          <w:szCs w:val="22"/>
        </w:rPr>
        <w:t>).</w:t>
      </w:r>
    </w:p>
    <w:p w14:paraId="5E9A0EB8" w14:textId="4C7F3B89" w:rsidR="00461B5E" w:rsidRDefault="00461B5E" w:rsidP="00461B5E">
      <w:pPr>
        <w:jc w:val="both"/>
      </w:pPr>
      <w:r>
        <w:t>Nearly 75% of the area affected was in s</w:t>
      </w:r>
      <w:r w:rsidR="00544D8F">
        <w:t>even</w:t>
      </w:r>
      <w:r w:rsidR="006139B7">
        <w:t>, primarily dry and very dry,</w:t>
      </w:r>
      <w:r>
        <w:t xml:space="preserve"> </w:t>
      </w:r>
      <w:r w:rsidR="006139B7">
        <w:t>Biogeoclimatic Ecosystem Classification (</w:t>
      </w:r>
      <w:r>
        <w:t>BEC</w:t>
      </w:r>
      <w:r w:rsidR="006139B7">
        <w:t>)</w:t>
      </w:r>
      <w:r>
        <w:t xml:space="preserve"> subzone</w:t>
      </w:r>
      <w:r w:rsidR="00BE5D8A">
        <w:t>s</w:t>
      </w:r>
      <w:r>
        <w:t>/variants: IDFdk3, IDFdk4, IDFxm, MSxv, SBPSdc, SBPSxc and SBPSmk.</w:t>
      </w:r>
    </w:p>
    <w:p w14:paraId="57338EE5" w14:textId="108FB477" w:rsidR="00461B5E" w:rsidRDefault="00461B5E" w:rsidP="00461B5E">
      <w:pPr>
        <w:jc w:val="both"/>
      </w:pPr>
      <w:r>
        <w:t>A total of nearly 60 million m</w:t>
      </w:r>
      <w:r>
        <w:rPr>
          <w:vertAlign w:val="superscript"/>
        </w:rPr>
        <w:t>3</w:t>
      </w:r>
      <w:r>
        <w:t xml:space="preserve"> of timber volume in the timber harvesting land</w:t>
      </w:r>
      <w:r w:rsidR="00EE4F4F">
        <w:t xml:space="preserve"> </w:t>
      </w:r>
      <w:r>
        <w:t>base</w:t>
      </w:r>
      <w:r w:rsidR="00FB7F0A">
        <w:t xml:space="preserve"> (</w:t>
      </w:r>
      <w:r w:rsidR="00A11FC5">
        <w:t>THLB</w:t>
      </w:r>
      <w:r>
        <w:t xml:space="preserve">) was within the area affected by </w:t>
      </w:r>
      <w:r w:rsidR="009C1BAF">
        <w:t>wildfire</w:t>
      </w:r>
      <w:r>
        <w:t xml:space="preserve"> in the four most severely affected TSAs</w:t>
      </w:r>
      <w:r w:rsidR="00EE4F4F">
        <w:t xml:space="preserve">; </w:t>
      </w:r>
      <w:r w:rsidR="00544D8F">
        <w:t>(</w:t>
      </w:r>
      <w:r>
        <w:t xml:space="preserve">Table 2). Based on the estimated percentage of trees killed by </w:t>
      </w:r>
      <w:r w:rsidR="009C1BAF">
        <w:t>wildfire</w:t>
      </w:r>
      <w:r>
        <w:t xml:space="preserve"> in each severity class (</w:t>
      </w:r>
      <w:r>
        <w:fldChar w:fldCharType="begin"/>
      </w:r>
      <w:r>
        <w:instrText xml:space="preserve"> REF _Ref497736447 \h </w:instrText>
      </w:r>
      <w:r>
        <w:fldChar w:fldCharType="separate"/>
      </w:r>
      <w:r w:rsidR="00EA1ED1">
        <w:t xml:space="preserve">Table </w:t>
      </w:r>
      <w:r w:rsidR="00EA1ED1">
        <w:rPr>
          <w:noProof/>
        </w:rPr>
        <w:t>1</w:t>
      </w:r>
      <w:r>
        <w:fldChar w:fldCharType="end"/>
      </w:r>
      <w:r>
        <w:t>)</w:t>
      </w:r>
      <w:r w:rsidR="00544D8F">
        <w:t>,</w:t>
      </w:r>
      <w:r w:rsidR="00742B64">
        <w:t xml:space="preserve"> approximately 22</w:t>
      </w:r>
      <w:r>
        <w:t xml:space="preserve"> million m</w:t>
      </w:r>
      <w:r>
        <w:rPr>
          <w:vertAlign w:val="superscript"/>
        </w:rPr>
        <w:t>3</w:t>
      </w:r>
      <w:r>
        <w:t xml:space="preserve"> of timber was killed by </w:t>
      </w:r>
      <w:r w:rsidR="009C1BAF">
        <w:t>wildfire</w:t>
      </w:r>
      <w:r>
        <w:t xml:space="preserve"> in</w:t>
      </w:r>
      <w:r w:rsidR="00742B64">
        <w:t xml:space="preserve"> those TSAs and an additional 12</w:t>
      </w:r>
      <w:r>
        <w:t xml:space="preserve"> million m</w:t>
      </w:r>
      <w:r>
        <w:rPr>
          <w:vertAlign w:val="superscript"/>
        </w:rPr>
        <w:t>3</w:t>
      </w:r>
      <w:r>
        <w:t xml:space="preserve"> of timber already killed by MPB was burned during the </w:t>
      </w:r>
      <w:r w:rsidR="00AD2298">
        <w:t>wildfires</w:t>
      </w:r>
      <w:r>
        <w:t>. An additional 3</w:t>
      </w:r>
      <w:r w:rsidR="00742B64">
        <w:t>.5</w:t>
      </w:r>
      <w:r>
        <w:t xml:space="preserve"> million m</w:t>
      </w:r>
      <w:r>
        <w:rPr>
          <w:vertAlign w:val="superscript"/>
        </w:rPr>
        <w:t>3</w:t>
      </w:r>
      <w:r>
        <w:t xml:space="preserve"> was affected </w:t>
      </w:r>
      <w:r w:rsidR="00BD55B3">
        <w:t>across all severity classes</w:t>
      </w:r>
      <w:r>
        <w:t xml:space="preserve"> elsewhere in the province. </w:t>
      </w:r>
    </w:p>
    <w:p w14:paraId="184C9E34" w14:textId="77777777" w:rsidR="00461B5E" w:rsidRDefault="00461B5E" w:rsidP="004F4C8E"/>
    <w:p w14:paraId="10E85367" w14:textId="5FDD9B8D" w:rsidR="00E41584" w:rsidRDefault="00530CE7" w:rsidP="00E41584">
      <w:pPr>
        <w:pStyle w:val="Caption"/>
        <w:rPr>
          <w:i w:val="0"/>
          <w:iCs w:val="0"/>
          <w:color w:val="auto"/>
          <w:sz w:val="22"/>
          <w:szCs w:val="22"/>
        </w:rPr>
      </w:pPr>
      <w:r>
        <w:rPr>
          <w:i w:val="0"/>
          <w:iCs w:val="0"/>
          <w:noProof/>
          <w:lang w:val="en-CA" w:eastAsia="en-CA"/>
        </w:rPr>
        <w:lastRenderedPageBreak/>
        <mc:AlternateContent>
          <mc:Choice Requires="wpg">
            <w:drawing>
              <wp:anchor distT="0" distB="0" distL="114300" distR="114300" simplePos="0" relativeHeight="251654656" behindDoc="0" locked="0" layoutInCell="1" allowOverlap="1" wp14:anchorId="1913FFD1" wp14:editId="0702FA65">
                <wp:simplePos x="0" y="0"/>
                <wp:positionH relativeFrom="column">
                  <wp:posOffset>518160</wp:posOffset>
                </wp:positionH>
                <wp:positionV relativeFrom="paragraph">
                  <wp:posOffset>1884968</wp:posOffset>
                </wp:positionV>
                <wp:extent cx="3616998" cy="1904444"/>
                <wp:effectExtent l="0" t="38100" r="59690" b="635"/>
                <wp:wrapNone/>
                <wp:docPr id="2" name="Group 2"/>
                <wp:cNvGraphicFramePr/>
                <a:graphic xmlns:a="http://schemas.openxmlformats.org/drawingml/2006/main">
                  <a:graphicData uri="http://schemas.microsoft.com/office/word/2010/wordprocessingGroup">
                    <wpg:wgp>
                      <wpg:cNvGrpSpPr/>
                      <wpg:grpSpPr>
                        <a:xfrm>
                          <a:off x="0" y="0"/>
                          <a:ext cx="3616998" cy="1904444"/>
                          <a:chOff x="44590" y="-127000"/>
                          <a:chExt cx="3616998" cy="1904444"/>
                        </a:xfrm>
                      </wpg:grpSpPr>
                      <wps:wsp>
                        <wps:cNvPr id="8" name="Text Box 8"/>
                        <wps:cNvSpPr txBox="1"/>
                        <wps:spPr>
                          <a:xfrm>
                            <a:off x="44590" y="-43524"/>
                            <a:ext cx="1374775" cy="317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1086EC5" w14:textId="17CE6250" w:rsidR="00742B64" w:rsidRPr="00E83225" w:rsidRDefault="00742B64">
                              <w:pPr>
                                <w:rPr>
                                  <w:color w:val="FF0000"/>
                                </w:rPr>
                              </w:pPr>
                              <w:r w:rsidRPr="00E83225">
                                <w:rPr>
                                  <w:color w:val="FF0000"/>
                                </w:rPr>
                                <w:t>Plateau Fire complex</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0" name="Text Box 10"/>
                        <wps:cNvSpPr txBox="1"/>
                        <wps:spPr>
                          <a:xfrm>
                            <a:off x="2512236" y="1459944"/>
                            <a:ext cx="908050" cy="317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7D83528" w14:textId="58A6AD5F" w:rsidR="00742B64" w:rsidRPr="00E83225" w:rsidRDefault="00742B64" w:rsidP="00E83225">
                              <w:pPr>
                                <w:rPr>
                                  <w:color w:val="FF0000"/>
                                </w:rPr>
                              </w:pPr>
                              <w:r w:rsidRPr="00E83225">
                                <w:rPr>
                                  <w:color w:val="FF0000"/>
                                </w:rPr>
                                <w:t>Elephant Hill</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1" name="Text Box 11"/>
                        <wps:cNvSpPr txBox="1"/>
                        <wps:spPr>
                          <a:xfrm>
                            <a:off x="551974" y="909823"/>
                            <a:ext cx="1470025" cy="317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60D301B" w14:textId="55595F76" w:rsidR="00742B64" w:rsidRDefault="00742B64" w:rsidP="00E83225">
                              <w:r w:rsidRPr="00E83225">
                                <w:rPr>
                                  <w:color w:val="FF0000"/>
                                </w:rPr>
                                <w:t>Hanceville-Riske Creek</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wps:wsp>
                        <wps:cNvPr id="12" name="Straight Arrow Connector 12"/>
                        <wps:cNvCnPr/>
                        <wps:spPr>
                          <a:xfrm flipV="1">
                            <a:off x="1449847" y="-127000"/>
                            <a:ext cx="227653" cy="210403"/>
                          </a:xfrm>
                          <a:prstGeom prst="straightConnector1">
                            <a:avLst/>
                          </a:prstGeom>
                          <a:ln w="254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3" name="Straight Arrow Connector 13"/>
                        <wps:cNvCnPr/>
                        <wps:spPr>
                          <a:xfrm flipV="1">
                            <a:off x="2021995" y="876262"/>
                            <a:ext cx="247650" cy="120650"/>
                          </a:xfrm>
                          <a:prstGeom prst="straightConnector1">
                            <a:avLst/>
                          </a:prstGeom>
                          <a:ln w="254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4" name="Straight Arrow Connector 14"/>
                        <wps:cNvCnPr/>
                        <wps:spPr>
                          <a:xfrm>
                            <a:off x="3420288" y="1596788"/>
                            <a:ext cx="241300" cy="76200"/>
                          </a:xfrm>
                          <a:prstGeom prst="straightConnector1">
                            <a:avLst/>
                          </a:prstGeom>
                          <a:ln w="25400">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2" o:spid="_x0000_s1027" style="position:absolute;margin-left:40.8pt;margin-top:148.4pt;width:284.8pt;height:149.95pt;z-index:251654656;mso-width-relative:margin;mso-height-relative:margin" coordorigin="445,-1270" coordsize="36169,190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">
                <v:shape id="Text Box 8" o:spid="_x0000_s1028" type="#_x0000_t202" style="position:absolute;left:445;top:-435;width:13748;height:3174;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U7Rr8A&#10;AADaAAAADwAAAGRycy9kb3ducmV2LnhtbERPTYvCMBC9L/gfwgje1lQFqdUoIgg96GG7itehGdti&#10;M6lJ1PrvNwdhj4/3vdr0phVPcr6xrGAyTkAQl1Y3XCk4/e6/UxA+IGtsLZOCN3nYrAdfK8y0ffEP&#10;PYtQiRjCPkMFdQhdJqUvazLox7YjjtzVOoMhQldJ7fAVw00rp0kylwYbjg01drSrqbwVD6PguFsU&#10;aT59u8tilu+L9D6xh/Ss1GjYb5cgAvXhX/xx51pB3BqvxBsg13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wBTtGvwAAANoAAAAPAAAAAAAAAAAAAAAAAJgCAABkcnMvZG93bnJl&#10;di54bWxQSwUGAAAAAAQABAD1AAAAhAMAAAAA&#10;" fillcolor="white [3201]" stroked="f" strokeweight=".5pt">
                  <v:textbox>
                    <w:txbxContent>
                      <w:p w14:paraId="01086EC5" w14:textId="17CE6250" w:rsidR="00742B64" w:rsidRPr="00E83225" w:rsidRDefault="00742B64">
                        <w:pPr>
                          <w:rPr>
                            <w:color w:val="FF0000"/>
                          </w:rPr>
                        </w:pPr>
                        <w:r w:rsidRPr="00E83225">
                          <w:rPr>
                            <w:color w:val="FF0000"/>
                          </w:rPr>
                          <w:t>Plateau Fire complex</w:t>
                        </w:r>
                      </w:p>
                    </w:txbxContent>
                  </v:textbox>
                </v:shape>
                <v:shape id="Text Box 10" o:spid="_x0000_s1029" type="#_x0000_t202" style="position:absolute;left:25122;top:14599;width:9080;height:31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qJzsQA&#10;AADbAAAADwAAAGRycy9kb3ducmV2LnhtbESPQWvCQBCF74X+h2UKvdWNFkqMriKCkEN7aKp4HbJj&#10;EszOxt1V47/vHAq9zfDevPfNcj26Xt0oxM6zgekkA0Vce9txY2D/s3vLQcWEbLH3TAYeFGG9en5a&#10;YmH9nb/pVqVGSQjHAg20KQ2F1rFuyWGc+IFYtJMPDpOsodE24F3CXa9nWfahHXYsDS0OtG2pPldX&#10;Z+BrO6/ycvYIx/l7uavyy9R/5gdjXl/GzQJUojH9m/+uSyv4Qi+/yAB6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aic7EAAAA2wAAAA8AAAAAAAAAAAAAAAAAmAIAAGRycy9k&#10;b3ducmV2LnhtbFBLBQYAAAAABAAEAPUAAACJAwAAAAA=&#10;" fillcolor="white [3201]" stroked="f" strokeweight=".5pt">
                  <v:textbox>
                    <w:txbxContent>
                      <w:p w14:paraId="77D83528" w14:textId="58A6AD5F" w:rsidR="00742B64" w:rsidRPr="00E83225" w:rsidRDefault="00742B64" w:rsidP="00E83225">
                        <w:pPr>
                          <w:rPr>
                            <w:color w:val="FF0000"/>
                          </w:rPr>
                        </w:pPr>
                        <w:r w:rsidRPr="00E83225">
                          <w:rPr>
                            <w:color w:val="FF0000"/>
                          </w:rPr>
                          <w:t>Elephant Hill</w:t>
                        </w:r>
                      </w:p>
                    </w:txbxContent>
                  </v:textbox>
                </v:shape>
                <v:shape id="Text Box 11" o:spid="_x0000_s1030" type="#_x0000_t202" style="position:absolute;left:5519;top:9098;width:14700;height:3175;visibility:visible;mso-wrap-style:non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YsVcEA&#10;AADbAAAADwAAAGRycy9kb3ducmV2LnhtbERPTYvCMBC9L/gfwgje1rQKS61GEUHoYfewdRevQzO2&#10;xWZSk6zWf78RBG/zeJ+z2gymE1dyvrWsIJ0mIIgrq1uuFfwc9u8ZCB+QNXaWScGdPGzWo7cV5tre&#10;+JuuZahFDGGfo4ImhD6X0lcNGfRT2xNH7mSdwRChq6V2eIvhppOzJPmQBluODQ32tGuoOpd/RsHX&#10;blFmxezujot5sS+zS2o/s1+lJuNhuwQRaAgv8dNd6Dg/hccv8QC5/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WLFXBAAAA2wAAAA8AAAAAAAAAAAAAAAAAmAIAAGRycy9kb3du&#10;cmV2LnhtbFBLBQYAAAAABAAEAPUAAACGAwAAAAA=&#10;" fillcolor="white [3201]" stroked="f" strokeweight=".5pt">
                  <v:textbox>
                    <w:txbxContent>
                      <w:p w14:paraId="160D301B" w14:textId="55595F76" w:rsidR="00742B64" w:rsidRDefault="00742B64" w:rsidP="00E83225">
                        <w:r w:rsidRPr="00E83225">
                          <w:rPr>
                            <w:color w:val="FF0000"/>
                          </w:rPr>
                          <w:t>Hanceville-Riske Creek</w:t>
                        </w:r>
                      </w:p>
                    </w:txbxContent>
                  </v:textbox>
                </v:shape>
                <v:shapetype id="_x0000_t32" coordsize="21600,21600" o:spt="32" o:oned="t" path="m,l21600,21600e" filled="f">
                  <v:path arrowok="t" fillok="f" o:connecttype="none"/>
                  <o:lock v:ext="edit" shapetype="t"/>
                </v:shapetype>
                <v:shape id="Straight Arrow Connector 12" o:spid="_x0000_s1031" type="#_x0000_t32" style="position:absolute;left:14498;top:-1270;width:2277;height:210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j21r8AAADbAAAADwAAAGRycy9kb3ducmV2LnhtbESPzQrCMBCE74LvEFbwIpqqIFKNooIg&#10;vYg/F29Ls7bFZlOaaOvbG0HwtsvMzje7XLemFC+qXWFZwXgUgSBOrS44U3C97IdzEM4jaywtk4I3&#10;OVivup0lxto2fKLX2WcihLCLUUHufRVL6dKcDLqRrYiDdre1QR/WOpO6xiaEm1JOomgmDRYcCDlW&#10;tMspfZyfJnCTZEqDokmOB8a5Hqfb5uZapfq9drMA4an1f/Pv+qBD/Ql8fwkD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Yj21r8AAADbAAAADwAAAAAAAAAAAAAAAACh&#10;AgAAZHJzL2Rvd25yZXYueG1sUEsFBgAAAAAEAAQA+QAAAI0DAAAAAA==&#10;" strokecolor="red" strokeweight="2pt">
                  <v:stroke endarrow="block" joinstyle="miter"/>
                </v:shape>
                <v:shape id="Straight Arrow Connector 13" o:spid="_x0000_s1032" type="#_x0000_t32" style="position:absolute;left:20219;top:8762;width:2477;height:1207;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RTTb8AAADbAAAADwAAAGRycy9kb3ducmV2LnhtbESPzQrCMBCE74LvEFbwIpqqIFKNooIg&#10;vYg/F29Ls7bFZlOaaOvbG0HwtsvMzje7XLemFC+qXWFZwXgUgSBOrS44U3C97IdzEM4jaywtk4I3&#10;OVivup0lxto2fKLX2WcihLCLUUHufRVL6dKcDLqRrYiDdre1QR/WOpO6xiaEm1JOomgmDRYcCDlW&#10;tMspfZyfJnCTZEqDokmOB8a5Hqfb5uZapfq9drMA4an1f/Pv+qBD/Sl8fwkDyNUH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sRTTb8AAADbAAAADwAAAAAAAAAAAAAAAACh&#10;AgAAZHJzL2Rvd25yZXYueG1sUEsFBgAAAAAEAAQA+QAAAI0DAAAAAA==&#10;" strokecolor="red" strokeweight="2pt">
                  <v:stroke endarrow="block" joinstyle="miter"/>
                </v:shape>
                <v:shape id="Straight Arrow Connector 14" o:spid="_x0000_s1033" type="#_x0000_t32" style="position:absolute;left:34202;top:15967;width:2413;height:76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RFaMAAAADbAAAADwAAAGRycy9kb3ducmV2LnhtbERPS0vDQBC+C/0PyxS82Y0PJKTdFhEF&#10;LyKmzX3ITnfTZndDZmziv3cFwdt8fM/Z7ObQqwuN3KVo4HZVgKLYJttFZ+Cwf70pQbFgtNinSAa+&#10;iWG3XVxtsLJpip90qcWpHBK5QgNeZKi05tZTQF6lgWLmjmkMKBmOTtsRpxween1XFI86YBdzg8eB&#10;nj215/orGLgvhRt+Pzn2pZs+jtL4+qUx5no5P61BCc3yL/5zv9k8/wF+f8kH6O0P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CERWjAAAAA2wAAAA8AAAAAAAAAAAAAAAAA&#10;oQIAAGRycy9kb3ducmV2LnhtbFBLBQYAAAAABAAEAPkAAACOAwAAAAA=&#10;" strokecolor="red" strokeweight="2pt">
                  <v:stroke endarrow="block" joinstyle="miter"/>
                </v:shape>
              </v:group>
            </w:pict>
          </mc:Fallback>
        </mc:AlternateContent>
      </w:r>
      <w:r w:rsidR="00B44377">
        <w:pict w14:anchorId="43BEA73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0.05pt;height:343.4pt">
            <v:imagedata r:id="rId19" o:title="fireAge" croptop="-1307f" cropbottom="-1307f" cropleft="-1009f" cropright="-1009f"/>
          </v:shape>
        </w:pict>
      </w:r>
      <w:bookmarkStart w:id="34" w:name="_Ref497566587"/>
    </w:p>
    <w:p w14:paraId="6CED16A0" w14:textId="5F4B271E" w:rsidR="00E83225" w:rsidRDefault="00AD4D35">
      <w:pPr>
        <w:pStyle w:val="Caption"/>
      </w:pPr>
      <w:bookmarkStart w:id="35" w:name="_Toc501382122"/>
      <w:r>
        <w:t xml:space="preserve">Figure </w:t>
      </w:r>
      <w:fldSimple w:instr=" SEQ Figure \* ARABIC ">
        <w:r w:rsidR="00EA1ED1">
          <w:rPr>
            <w:noProof/>
          </w:rPr>
          <w:t>3</w:t>
        </w:r>
      </w:fldSimple>
      <w:bookmarkEnd w:id="34"/>
      <w:r>
        <w:t xml:space="preserve">. Age class of forest affected by </w:t>
      </w:r>
      <w:r w:rsidR="00AD2298">
        <w:t>wildfires</w:t>
      </w:r>
      <w:r>
        <w:t xml:space="preserve">; showing the area of greatest damage (the Cariboo forest region) and highlighting the three largest </w:t>
      </w:r>
      <w:r w:rsidR="00AD2298">
        <w:t>wildfires</w:t>
      </w:r>
      <w:r>
        <w:t>.</w:t>
      </w:r>
      <w:bookmarkEnd w:id="35"/>
    </w:p>
    <w:p w14:paraId="6A419772" w14:textId="77777777" w:rsidR="00746F90" w:rsidRPr="00500CFB" w:rsidRDefault="00746F90" w:rsidP="00500CFB"/>
    <w:p w14:paraId="0BEB3556" w14:textId="7FE302B9" w:rsidR="00796652" w:rsidRDefault="00B10334" w:rsidP="00365393">
      <w:r>
        <w:rPr>
          <w:noProof/>
          <w:lang w:val="en-CA" w:eastAsia="en-CA"/>
        </w:rPr>
        <w:drawing>
          <wp:inline distT="0" distB="0" distL="0" distR="0" wp14:anchorId="779F7EF3" wp14:editId="0F98AAB7">
            <wp:extent cx="5319395" cy="2026693"/>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52FC73E" w14:textId="4ADDDA46" w:rsidR="00B10334" w:rsidRDefault="00B10334" w:rsidP="00B10334">
      <w:pPr>
        <w:pStyle w:val="Caption"/>
      </w:pPr>
      <w:bookmarkStart w:id="36" w:name="_Ref497564507"/>
      <w:bookmarkStart w:id="37" w:name="_Toc501382123"/>
      <w:r>
        <w:t xml:space="preserve">Figure </w:t>
      </w:r>
      <w:fldSimple w:instr=" SEQ Figure \* ARABIC ">
        <w:r w:rsidR="00EA1ED1">
          <w:rPr>
            <w:noProof/>
          </w:rPr>
          <w:t>4</w:t>
        </w:r>
      </w:fldSimple>
      <w:bookmarkEnd w:id="36"/>
      <w:r>
        <w:t xml:space="preserve">. </w:t>
      </w:r>
      <w:r w:rsidR="00BD55B3">
        <w:t>Provincial summary of a</w:t>
      </w:r>
      <w:r>
        <w:t>ge of forest burned.</w:t>
      </w:r>
      <w:bookmarkEnd w:id="37"/>
    </w:p>
    <w:p w14:paraId="7222612B" w14:textId="77777777" w:rsidR="00D32BE0" w:rsidRDefault="00D32BE0" w:rsidP="00274B80">
      <w:pPr>
        <w:pStyle w:val="Caption"/>
      </w:pPr>
      <w:bookmarkStart w:id="38" w:name="_Toc502565289"/>
    </w:p>
    <w:p w14:paraId="2BF6B1F9" w14:textId="77777777" w:rsidR="00D32BE0" w:rsidRDefault="00D32BE0" w:rsidP="00274B80">
      <w:pPr>
        <w:pStyle w:val="Caption"/>
      </w:pPr>
    </w:p>
    <w:p w14:paraId="765C5E93" w14:textId="3C49B8F4" w:rsidR="00274B80" w:rsidRDefault="00274B80" w:rsidP="00274B80">
      <w:pPr>
        <w:pStyle w:val="Caption"/>
      </w:pPr>
      <w:r>
        <w:lastRenderedPageBreak/>
        <w:t xml:space="preserve">Table </w:t>
      </w:r>
      <w:fldSimple w:instr=" SEQ Table \* ARABIC ">
        <w:r w:rsidR="00EA1ED1">
          <w:rPr>
            <w:noProof/>
          </w:rPr>
          <w:t>2</w:t>
        </w:r>
      </w:fldSimple>
      <w:r>
        <w:t>. Volume (000s of m</w:t>
      </w:r>
      <w:r w:rsidRPr="00191473">
        <w:rPr>
          <w:vertAlign w:val="superscript"/>
        </w:rPr>
        <w:t>3</w:t>
      </w:r>
      <w:r>
        <w:t>) of live and dead (</w:t>
      </w:r>
      <w:r w:rsidR="006139B7">
        <w:t xml:space="preserve">killed by </w:t>
      </w:r>
      <w:r>
        <w:t>mountain pine beetle) timber in the timber harvesting landbase affected</w:t>
      </w:r>
      <w:r w:rsidR="006139B7">
        <w:t xml:space="preserve"> by the 2017 wildfires,</w:t>
      </w:r>
      <w:r>
        <w:t xml:space="preserve"> by Timber Supply Area and burn severity class</w:t>
      </w:r>
      <w:bookmarkEnd w:id="38"/>
    </w:p>
    <w:tbl>
      <w:tblPr>
        <w:tblW w:w="7706" w:type="dxa"/>
        <w:tblInd w:w="93" w:type="dxa"/>
        <w:tblCellMar>
          <w:left w:w="0" w:type="dxa"/>
          <w:right w:w="0" w:type="dxa"/>
        </w:tblCellMar>
        <w:tblLook w:val="04A0" w:firstRow="1" w:lastRow="0" w:firstColumn="1" w:lastColumn="0" w:noHBand="0" w:noVBand="1"/>
      </w:tblPr>
      <w:tblGrid>
        <w:gridCol w:w="1771"/>
        <w:gridCol w:w="1201"/>
        <w:gridCol w:w="1201"/>
        <w:gridCol w:w="647"/>
        <w:gridCol w:w="1038"/>
        <w:gridCol w:w="925"/>
        <w:gridCol w:w="923"/>
      </w:tblGrid>
      <w:tr w:rsidR="00AF2F7E" w:rsidRPr="00AF2F7E" w14:paraId="0745E9DF" w14:textId="77777777" w:rsidTr="00746F90">
        <w:trPr>
          <w:trHeight w:val="333"/>
        </w:trPr>
        <w:tc>
          <w:tcPr>
            <w:tcW w:w="1771" w:type="dxa"/>
            <w:tcBorders>
              <w:top w:val="single" w:sz="12" w:space="0" w:color="auto"/>
              <w:left w:val="nil"/>
              <w:bottom w:val="nil"/>
              <w:right w:val="nil"/>
            </w:tcBorders>
            <w:tcMar>
              <w:top w:w="0" w:type="dxa"/>
              <w:left w:w="108" w:type="dxa"/>
              <w:bottom w:w="0" w:type="dxa"/>
              <w:right w:w="108" w:type="dxa"/>
            </w:tcMar>
            <w:vAlign w:val="center"/>
            <w:hideMark/>
          </w:tcPr>
          <w:p w14:paraId="7C327FA7" w14:textId="77777777" w:rsidR="00AF2F7E" w:rsidRPr="00AF2F7E" w:rsidRDefault="00AF2F7E" w:rsidP="00AF2F7E">
            <w:pPr>
              <w:spacing w:after="0" w:line="240" w:lineRule="auto"/>
              <w:rPr>
                <w:rFonts w:ascii="Calibri" w:eastAsia="Calibri" w:hAnsi="Calibri" w:cs="Calibri"/>
                <w:b/>
                <w:bCs/>
                <w:color w:val="000000"/>
                <w:lang w:val="en-CA" w:eastAsia="en-CA"/>
              </w:rPr>
            </w:pPr>
            <w:r w:rsidRPr="00AF2F7E">
              <w:rPr>
                <w:rFonts w:ascii="Calibri" w:eastAsia="Calibri" w:hAnsi="Calibri" w:cs="Calibri"/>
                <w:b/>
                <w:bCs/>
                <w:color w:val="000000"/>
                <w:lang w:val="en-CA" w:eastAsia="en-CA"/>
              </w:rPr>
              <w:t> </w:t>
            </w:r>
          </w:p>
        </w:tc>
        <w:tc>
          <w:tcPr>
            <w:tcW w:w="1201" w:type="dxa"/>
            <w:tcBorders>
              <w:top w:val="single" w:sz="12" w:space="0" w:color="auto"/>
              <w:left w:val="nil"/>
              <w:bottom w:val="nil"/>
              <w:right w:val="nil"/>
            </w:tcBorders>
            <w:tcMar>
              <w:top w:w="0" w:type="dxa"/>
              <w:left w:w="108" w:type="dxa"/>
              <w:bottom w:w="0" w:type="dxa"/>
              <w:right w:w="108" w:type="dxa"/>
            </w:tcMar>
            <w:vAlign w:val="center"/>
            <w:hideMark/>
          </w:tcPr>
          <w:p w14:paraId="3858212F" w14:textId="77777777" w:rsidR="00AF2F7E" w:rsidRPr="00AF2F7E" w:rsidRDefault="00AF2F7E" w:rsidP="00AF2F7E">
            <w:pPr>
              <w:spacing w:after="0" w:line="240" w:lineRule="auto"/>
              <w:rPr>
                <w:rFonts w:ascii="Calibri" w:eastAsia="Calibri" w:hAnsi="Calibri" w:cs="Calibri"/>
                <w:b/>
                <w:bCs/>
                <w:color w:val="000000"/>
                <w:lang w:val="en-CA" w:eastAsia="en-CA"/>
              </w:rPr>
            </w:pPr>
            <w:r w:rsidRPr="00AF2F7E">
              <w:rPr>
                <w:rFonts w:ascii="Calibri" w:eastAsia="Calibri" w:hAnsi="Calibri" w:cs="Calibri"/>
                <w:b/>
                <w:bCs/>
                <w:color w:val="000000"/>
                <w:lang w:val="en-CA" w:eastAsia="en-CA"/>
              </w:rPr>
              <w:t> </w:t>
            </w:r>
          </w:p>
        </w:tc>
        <w:tc>
          <w:tcPr>
            <w:tcW w:w="3811" w:type="dxa"/>
            <w:gridSpan w:val="4"/>
            <w:tcBorders>
              <w:top w:val="single" w:sz="12" w:space="0" w:color="auto"/>
              <w:left w:val="nil"/>
              <w:bottom w:val="single" w:sz="8" w:space="0" w:color="auto"/>
              <w:right w:val="nil"/>
            </w:tcBorders>
            <w:tcMar>
              <w:top w:w="0" w:type="dxa"/>
              <w:left w:w="108" w:type="dxa"/>
              <w:bottom w:w="0" w:type="dxa"/>
              <w:right w:w="108" w:type="dxa"/>
            </w:tcMar>
            <w:vAlign w:val="center"/>
            <w:hideMark/>
          </w:tcPr>
          <w:p w14:paraId="27FDC7B1" w14:textId="77777777" w:rsidR="00AF2F7E" w:rsidRPr="00AF2F7E" w:rsidRDefault="00AF2F7E" w:rsidP="00AF2F7E">
            <w:pPr>
              <w:spacing w:after="0" w:line="240" w:lineRule="auto"/>
              <w:jc w:val="center"/>
              <w:rPr>
                <w:rFonts w:ascii="Calibri" w:eastAsia="Calibri" w:hAnsi="Calibri" w:cs="Calibri"/>
                <w:b/>
                <w:bCs/>
                <w:color w:val="000000"/>
                <w:u w:val="single"/>
                <w:lang w:val="en-CA" w:eastAsia="en-CA"/>
              </w:rPr>
            </w:pPr>
            <w:r w:rsidRPr="00AF2F7E">
              <w:rPr>
                <w:rFonts w:ascii="Calibri" w:eastAsia="Calibri" w:hAnsi="Calibri" w:cs="Calibri"/>
                <w:b/>
                <w:bCs/>
                <w:color w:val="000000"/>
                <w:u w:val="single"/>
                <w:lang w:val="en-CA" w:eastAsia="en-CA"/>
              </w:rPr>
              <w:t>Burn Severity*</w:t>
            </w:r>
          </w:p>
        </w:tc>
        <w:tc>
          <w:tcPr>
            <w:tcW w:w="923" w:type="dxa"/>
            <w:tcBorders>
              <w:top w:val="single" w:sz="12" w:space="0" w:color="auto"/>
              <w:left w:val="nil"/>
              <w:bottom w:val="nil"/>
              <w:right w:val="nil"/>
            </w:tcBorders>
            <w:tcMar>
              <w:top w:w="0" w:type="dxa"/>
              <w:left w:w="108" w:type="dxa"/>
              <w:bottom w:w="0" w:type="dxa"/>
              <w:right w:w="108" w:type="dxa"/>
            </w:tcMar>
            <w:vAlign w:val="center"/>
            <w:hideMark/>
          </w:tcPr>
          <w:p w14:paraId="4DE28CF1" w14:textId="77777777" w:rsidR="00AF2F7E" w:rsidRPr="00AF2F7E" w:rsidRDefault="00AF2F7E" w:rsidP="00AF2F7E">
            <w:pPr>
              <w:spacing w:after="0" w:line="240" w:lineRule="auto"/>
              <w:rPr>
                <w:rFonts w:ascii="Calibri" w:eastAsia="Calibri" w:hAnsi="Calibri" w:cs="Calibri"/>
                <w:b/>
                <w:bCs/>
                <w:color w:val="000000"/>
                <w:lang w:val="en-CA" w:eastAsia="en-CA"/>
              </w:rPr>
            </w:pPr>
            <w:r w:rsidRPr="00AF2F7E">
              <w:rPr>
                <w:rFonts w:ascii="Calibri" w:eastAsia="Calibri" w:hAnsi="Calibri" w:cs="Calibri"/>
                <w:b/>
                <w:bCs/>
                <w:color w:val="000000"/>
                <w:lang w:val="en-CA" w:eastAsia="en-CA"/>
              </w:rPr>
              <w:t> </w:t>
            </w:r>
          </w:p>
        </w:tc>
      </w:tr>
      <w:tr w:rsidR="00746F90" w:rsidRPr="00AF2F7E" w14:paraId="11F261AB" w14:textId="77777777" w:rsidTr="00746F90">
        <w:trPr>
          <w:trHeight w:val="734"/>
        </w:trPr>
        <w:tc>
          <w:tcPr>
            <w:tcW w:w="1771" w:type="dxa"/>
            <w:tcBorders>
              <w:top w:val="nil"/>
              <w:left w:val="nil"/>
              <w:bottom w:val="single" w:sz="8" w:space="0" w:color="auto"/>
              <w:right w:val="nil"/>
            </w:tcBorders>
            <w:tcMar>
              <w:top w:w="0" w:type="dxa"/>
              <w:left w:w="108" w:type="dxa"/>
              <w:bottom w:w="0" w:type="dxa"/>
              <w:right w:w="108" w:type="dxa"/>
            </w:tcMar>
            <w:vAlign w:val="center"/>
            <w:hideMark/>
          </w:tcPr>
          <w:p w14:paraId="2029CE34" w14:textId="77777777" w:rsidR="00AF2F7E" w:rsidRPr="00AF2F7E" w:rsidRDefault="00AF2F7E" w:rsidP="00AF2F7E">
            <w:pPr>
              <w:spacing w:after="0" w:line="240" w:lineRule="auto"/>
              <w:rPr>
                <w:rFonts w:ascii="Calibri" w:eastAsia="Calibri" w:hAnsi="Calibri" w:cs="Calibri"/>
                <w:b/>
                <w:bCs/>
                <w:color w:val="000000"/>
                <w:u w:val="single"/>
                <w:lang w:val="en-CA" w:eastAsia="en-CA"/>
              </w:rPr>
            </w:pPr>
            <w:r w:rsidRPr="00AF2F7E">
              <w:rPr>
                <w:rFonts w:ascii="Calibri" w:eastAsia="Calibri" w:hAnsi="Calibri" w:cs="Calibri"/>
                <w:b/>
                <w:bCs/>
                <w:color w:val="000000"/>
                <w:u w:val="single"/>
                <w:lang w:val="en-CA" w:eastAsia="en-CA"/>
              </w:rPr>
              <w:t>Timber Supply Area</w:t>
            </w:r>
          </w:p>
        </w:tc>
        <w:tc>
          <w:tcPr>
            <w:tcW w:w="1201" w:type="dxa"/>
            <w:tcBorders>
              <w:top w:val="nil"/>
              <w:left w:val="nil"/>
              <w:bottom w:val="single" w:sz="8" w:space="0" w:color="auto"/>
              <w:right w:val="nil"/>
            </w:tcBorders>
            <w:tcMar>
              <w:top w:w="0" w:type="dxa"/>
              <w:left w:w="108" w:type="dxa"/>
              <w:bottom w:w="0" w:type="dxa"/>
              <w:right w:w="108" w:type="dxa"/>
            </w:tcMar>
            <w:vAlign w:val="center"/>
            <w:hideMark/>
          </w:tcPr>
          <w:p w14:paraId="7ED87196" w14:textId="77777777" w:rsidR="00AF2F7E" w:rsidRPr="00AF2F7E" w:rsidRDefault="00AF2F7E" w:rsidP="00AF2F7E">
            <w:pPr>
              <w:spacing w:after="0" w:line="240" w:lineRule="auto"/>
              <w:rPr>
                <w:rFonts w:ascii="Calibri" w:eastAsia="Calibri" w:hAnsi="Calibri" w:cs="Calibri"/>
                <w:b/>
                <w:bCs/>
                <w:color w:val="000000"/>
                <w:u w:val="single"/>
                <w:lang w:val="en-CA" w:eastAsia="en-CA"/>
              </w:rPr>
            </w:pPr>
            <w:r w:rsidRPr="00AF2F7E">
              <w:rPr>
                <w:rFonts w:ascii="Calibri" w:eastAsia="Calibri" w:hAnsi="Calibri" w:cs="Calibri"/>
                <w:b/>
                <w:bCs/>
                <w:color w:val="000000"/>
                <w:u w:val="single"/>
                <w:lang w:val="en-CA" w:eastAsia="en-CA"/>
              </w:rPr>
              <w:t>Live/Dead</w:t>
            </w:r>
          </w:p>
        </w:tc>
        <w:tc>
          <w:tcPr>
            <w:tcW w:w="1201" w:type="dxa"/>
            <w:tcBorders>
              <w:top w:val="nil"/>
              <w:left w:val="nil"/>
              <w:bottom w:val="single" w:sz="8" w:space="0" w:color="auto"/>
              <w:right w:val="nil"/>
            </w:tcBorders>
            <w:tcMar>
              <w:top w:w="0" w:type="dxa"/>
              <w:left w:w="108" w:type="dxa"/>
              <w:bottom w:w="0" w:type="dxa"/>
              <w:right w:w="108" w:type="dxa"/>
            </w:tcMar>
            <w:vAlign w:val="center"/>
            <w:hideMark/>
          </w:tcPr>
          <w:p w14:paraId="508A7962" w14:textId="77777777" w:rsidR="00AF2F7E" w:rsidRPr="00AF2F7E" w:rsidRDefault="00AF2F7E" w:rsidP="00AF2F7E">
            <w:pPr>
              <w:spacing w:after="0" w:line="240" w:lineRule="auto"/>
              <w:jc w:val="center"/>
              <w:rPr>
                <w:rFonts w:ascii="Calibri" w:eastAsia="Calibri" w:hAnsi="Calibri" w:cs="Calibri"/>
                <w:b/>
                <w:bCs/>
                <w:color w:val="000000"/>
                <w:u w:val="single"/>
                <w:lang w:val="en-CA" w:eastAsia="en-CA"/>
              </w:rPr>
            </w:pPr>
            <w:r w:rsidRPr="00AF2F7E">
              <w:rPr>
                <w:rFonts w:ascii="Calibri" w:eastAsia="Calibri" w:hAnsi="Calibri" w:cs="Calibri"/>
                <w:b/>
                <w:bCs/>
                <w:color w:val="000000"/>
                <w:u w:val="single"/>
                <w:lang w:val="en-CA" w:eastAsia="en-CA"/>
              </w:rPr>
              <w:t>Unburned</w:t>
            </w:r>
          </w:p>
        </w:tc>
        <w:tc>
          <w:tcPr>
            <w:tcW w:w="647" w:type="dxa"/>
            <w:tcBorders>
              <w:top w:val="nil"/>
              <w:left w:val="nil"/>
              <w:bottom w:val="single" w:sz="8" w:space="0" w:color="auto"/>
              <w:right w:val="nil"/>
            </w:tcBorders>
            <w:tcMar>
              <w:top w:w="0" w:type="dxa"/>
              <w:left w:w="108" w:type="dxa"/>
              <w:bottom w:w="0" w:type="dxa"/>
              <w:right w:w="108" w:type="dxa"/>
            </w:tcMar>
            <w:vAlign w:val="center"/>
            <w:hideMark/>
          </w:tcPr>
          <w:p w14:paraId="6B5F8209" w14:textId="77777777" w:rsidR="00AF2F7E" w:rsidRPr="00AF2F7E" w:rsidRDefault="00AF2F7E" w:rsidP="00AF2F7E">
            <w:pPr>
              <w:spacing w:after="0" w:line="240" w:lineRule="auto"/>
              <w:jc w:val="center"/>
              <w:rPr>
                <w:rFonts w:ascii="Calibri" w:eastAsia="Calibri" w:hAnsi="Calibri" w:cs="Calibri"/>
                <w:b/>
                <w:bCs/>
                <w:color w:val="000000"/>
                <w:u w:val="single"/>
                <w:lang w:val="en-CA" w:eastAsia="en-CA"/>
              </w:rPr>
            </w:pPr>
            <w:r w:rsidRPr="00AF2F7E">
              <w:rPr>
                <w:rFonts w:ascii="Calibri" w:eastAsia="Calibri" w:hAnsi="Calibri" w:cs="Calibri"/>
                <w:b/>
                <w:bCs/>
                <w:color w:val="000000"/>
                <w:u w:val="single"/>
                <w:lang w:val="en-CA" w:eastAsia="en-CA"/>
              </w:rPr>
              <w:t>Low</w:t>
            </w:r>
          </w:p>
        </w:tc>
        <w:tc>
          <w:tcPr>
            <w:tcW w:w="1038" w:type="dxa"/>
            <w:tcBorders>
              <w:top w:val="nil"/>
              <w:left w:val="nil"/>
              <w:bottom w:val="single" w:sz="8" w:space="0" w:color="auto"/>
              <w:right w:val="nil"/>
            </w:tcBorders>
            <w:tcMar>
              <w:top w:w="0" w:type="dxa"/>
              <w:left w:w="108" w:type="dxa"/>
              <w:bottom w:w="0" w:type="dxa"/>
              <w:right w:w="108" w:type="dxa"/>
            </w:tcMar>
            <w:vAlign w:val="center"/>
            <w:hideMark/>
          </w:tcPr>
          <w:p w14:paraId="4A0C8084" w14:textId="77777777" w:rsidR="00AF2F7E" w:rsidRPr="00AF2F7E" w:rsidRDefault="00AF2F7E" w:rsidP="00AF2F7E">
            <w:pPr>
              <w:spacing w:after="0" w:line="240" w:lineRule="auto"/>
              <w:jc w:val="center"/>
              <w:rPr>
                <w:rFonts w:ascii="Calibri" w:eastAsia="Calibri" w:hAnsi="Calibri" w:cs="Calibri"/>
                <w:b/>
                <w:bCs/>
                <w:color w:val="000000"/>
                <w:u w:val="single"/>
                <w:lang w:val="en-CA" w:eastAsia="en-CA"/>
              </w:rPr>
            </w:pPr>
            <w:r w:rsidRPr="00AF2F7E">
              <w:rPr>
                <w:rFonts w:ascii="Calibri" w:eastAsia="Calibri" w:hAnsi="Calibri" w:cs="Calibri"/>
                <w:b/>
                <w:bCs/>
                <w:color w:val="000000"/>
                <w:u w:val="single"/>
                <w:lang w:val="en-CA" w:eastAsia="en-CA"/>
              </w:rPr>
              <w:t>Medium</w:t>
            </w:r>
          </w:p>
        </w:tc>
        <w:tc>
          <w:tcPr>
            <w:tcW w:w="924" w:type="dxa"/>
            <w:tcBorders>
              <w:top w:val="nil"/>
              <w:left w:val="nil"/>
              <w:bottom w:val="single" w:sz="8" w:space="0" w:color="auto"/>
              <w:right w:val="nil"/>
            </w:tcBorders>
            <w:tcMar>
              <w:top w:w="0" w:type="dxa"/>
              <w:left w:w="108" w:type="dxa"/>
              <w:bottom w:w="0" w:type="dxa"/>
              <w:right w:w="108" w:type="dxa"/>
            </w:tcMar>
            <w:vAlign w:val="center"/>
            <w:hideMark/>
          </w:tcPr>
          <w:p w14:paraId="5CAB1B59" w14:textId="77777777" w:rsidR="00AF2F7E" w:rsidRPr="00AF2F7E" w:rsidRDefault="00AF2F7E" w:rsidP="00AF2F7E">
            <w:pPr>
              <w:spacing w:after="0" w:line="240" w:lineRule="auto"/>
              <w:jc w:val="center"/>
              <w:rPr>
                <w:rFonts w:ascii="Calibri" w:eastAsia="Calibri" w:hAnsi="Calibri" w:cs="Calibri"/>
                <w:b/>
                <w:bCs/>
                <w:color w:val="000000"/>
                <w:u w:val="single"/>
                <w:lang w:val="en-CA" w:eastAsia="en-CA"/>
              </w:rPr>
            </w:pPr>
            <w:r w:rsidRPr="00AF2F7E">
              <w:rPr>
                <w:rFonts w:ascii="Calibri" w:eastAsia="Calibri" w:hAnsi="Calibri" w:cs="Calibri"/>
                <w:b/>
                <w:bCs/>
                <w:color w:val="000000"/>
                <w:u w:val="single"/>
                <w:lang w:val="en-CA" w:eastAsia="en-CA"/>
              </w:rPr>
              <w:t>High</w:t>
            </w:r>
          </w:p>
        </w:tc>
        <w:tc>
          <w:tcPr>
            <w:tcW w:w="923" w:type="dxa"/>
            <w:tcBorders>
              <w:top w:val="nil"/>
              <w:left w:val="nil"/>
              <w:bottom w:val="single" w:sz="8" w:space="0" w:color="auto"/>
              <w:right w:val="nil"/>
            </w:tcBorders>
            <w:tcMar>
              <w:top w:w="0" w:type="dxa"/>
              <w:left w:w="108" w:type="dxa"/>
              <w:bottom w:w="0" w:type="dxa"/>
              <w:right w:w="108" w:type="dxa"/>
            </w:tcMar>
            <w:vAlign w:val="center"/>
            <w:hideMark/>
          </w:tcPr>
          <w:p w14:paraId="2B45058B" w14:textId="77777777" w:rsidR="00AF2F7E" w:rsidRPr="00AF2F7E" w:rsidRDefault="00AF2F7E" w:rsidP="00AF2F7E">
            <w:pPr>
              <w:spacing w:after="0" w:line="240" w:lineRule="auto"/>
              <w:jc w:val="center"/>
              <w:rPr>
                <w:rFonts w:ascii="Calibri" w:eastAsia="Calibri" w:hAnsi="Calibri" w:cs="Calibri"/>
                <w:b/>
                <w:bCs/>
                <w:color w:val="000000"/>
                <w:u w:val="single"/>
                <w:lang w:val="en-CA" w:eastAsia="en-CA"/>
              </w:rPr>
            </w:pPr>
            <w:r w:rsidRPr="00AF2F7E">
              <w:rPr>
                <w:rFonts w:ascii="Calibri" w:eastAsia="Calibri" w:hAnsi="Calibri" w:cs="Calibri"/>
                <w:b/>
                <w:bCs/>
                <w:color w:val="000000"/>
                <w:u w:val="single"/>
                <w:lang w:val="en-CA" w:eastAsia="en-CA"/>
              </w:rPr>
              <w:t>Total</w:t>
            </w:r>
          </w:p>
        </w:tc>
      </w:tr>
      <w:tr w:rsidR="00746F90" w:rsidRPr="00AF2F7E" w14:paraId="5232D171" w14:textId="77777777" w:rsidTr="00746F90">
        <w:trPr>
          <w:trHeight w:val="241"/>
        </w:trPr>
        <w:tc>
          <w:tcPr>
            <w:tcW w:w="1771" w:type="dxa"/>
            <w:noWrap/>
            <w:tcMar>
              <w:top w:w="0" w:type="dxa"/>
              <w:left w:w="108" w:type="dxa"/>
              <w:bottom w:w="0" w:type="dxa"/>
              <w:right w:w="108" w:type="dxa"/>
            </w:tcMar>
            <w:vAlign w:val="center"/>
            <w:hideMark/>
          </w:tcPr>
          <w:p w14:paraId="1A998B21"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Quesnel</w:t>
            </w:r>
          </w:p>
        </w:tc>
        <w:tc>
          <w:tcPr>
            <w:tcW w:w="1201" w:type="dxa"/>
            <w:noWrap/>
            <w:tcMar>
              <w:top w:w="0" w:type="dxa"/>
              <w:left w:w="108" w:type="dxa"/>
              <w:bottom w:w="0" w:type="dxa"/>
              <w:right w:w="108" w:type="dxa"/>
            </w:tcMar>
            <w:vAlign w:val="center"/>
            <w:hideMark/>
          </w:tcPr>
          <w:p w14:paraId="0F7B38B3"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Live</w:t>
            </w:r>
          </w:p>
        </w:tc>
        <w:tc>
          <w:tcPr>
            <w:tcW w:w="1201" w:type="dxa"/>
            <w:noWrap/>
            <w:tcMar>
              <w:top w:w="0" w:type="dxa"/>
              <w:left w:w="108" w:type="dxa"/>
              <w:bottom w:w="0" w:type="dxa"/>
              <w:right w:w="108" w:type="dxa"/>
            </w:tcMar>
            <w:vAlign w:val="center"/>
            <w:hideMark/>
          </w:tcPr>
          <w:p w14:paraId="053AD7FD"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18</w:t>
            </w:r>
          </w:p>
        </w:tc>
        <w:tc>
          <w:tcPr>
            <w:tcW w:w="647" w:type="dxa"/>
            <w:noWrap/>
            <w:tcMar>
              <w:top w:w="0" w:type="dxa"/>
              <w:left w:w="108" w:type="dxa"/>
              <w:bottom w:w="0" w:type="dxa"/>
              <w:right w:w="108" w:type="dxa"/>
            </w:tcMar>
            <w:vAlign w:val="center"/>
            <w:hideMark/>
          </w:tcPr>
          <w:p w14:paraId="3D7CB7C9"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242</w:t>
            </w:r>
          </w:p>
        </w:tc>
        <w:tc>
          <w:tcPr>
            <w:tcW w:w="1038" w:type="dxa"/>
            <w:noWrap/>
            <w:tcMar>
              <w:top w:w="0" w:type="dxa"/>
              <w:left w:w="108" w:type="dxa"/>
              <w:bottom w:w="0" w:type="dxa"/>
              <w:right w:w="108" w:type="dxa"/>
            </w:tcMar>
            <w:vAlign w:val="center"/>
            <w:hideMark/>
          </w:tcPr>
          <w:p w14:paraId="74A380AB"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1,012</w:t>
            </w:r>
          </w:p>
        </w:tc>
        <w:tc>
          <w:tcPr>
            <w:tcW w:w="924" w:type="dxa"/>
            <w:noWrap/>
            <w:tcMar>
              <w:top w:w="0" w:type="dxa"/>
              <w:left w:w="108" w:type="dxa"/>
              <w:bottom w:w="0" w:type="dxa"/>
              <w:right w:w="108" w:type="dxa"/>
            </w:tcMar>
            <w:vAlign w:val="center"/>
            <w:hideMark/>
          </w:tcPr>
          <w:p w14:paraId="3F8C1A7B"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7,707</w:t>
            </w:r>
          </w:p>
        </w:tc>
        <w:tc>
          <w:tcPr>
            <w:tcW w:w="923" w:type="dxa"/>
            <w:noWrap/>
            <w:tcMar>
              <w:top w:w="0" w:type="dxa"/>
              <w:left w:w="108" w:type="dxa"/>
              <w:bottom w:w="0" w:type="dxa"/>
              <w:right w:w="108" w:type="dxa"/>
            </w:tcMar>
            <w:vAlign w:val="center"/>
            <w:hideMark/>
          </w:tcPr>
          <w:p w14:paraId="7CE0ABFC"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8,979</w:t>
            </w:r>
          </w:p>
        </w:tc>
      </w:tr>
      <w:tr w:rsidR="00746F90" w:rsidRPr="00AF2F7E" w14:paraId="1B2C4A29" w14:textId="77777777" w:rsidTr="00746F90">
        <w:trPr>
          <w:trHeight w:val="251"/>
        </w:trPr>
        <w:tc>
          <w:tcPr>
            <w:tcW w:w="1771" w:type="dxa"/>
            <w:noWrap/>
            <w:tcMar>
              <w:top w:w="0" w:type="dxa"/>
              <w:left w:w="108" w:type="dxa"/>
              <w:bottom w:w="0" w:type="dxa"/>
              <w:right w:w="108" w:type="dxa"/>
            </w:tcMar>
            <w:hideMark/>
          </w:tcPr>
          <w:p w14:paraId="0299AF4D" w14:textId="77777777" w:rsidR="00AF2F7E" w:rsidRPr="00AF2F7E" w:rsidRDefault="00AF2F7E" w:rsidP="00AF2F7E">
            <w:pPr>
              <w:spacing w:after="0" w:line="240" w:lineRule="auto"/>
              <w:rPr>
                <w:rFonts w:ascii="Times New Roman" w:eastAsia="Times New Roman" w:hAnsi="Times New Roman" w:cs="Times New Roman"/>
                <w:sz w:val="20"/>
                <w:szCs w:val="20"/>
                <w:lang w:val="en-CA" w:eastAsia="en-CA"/>
              </w:rPr>
            </w:pPr>
          </w:p>
        </w:tc>
        <w:tc>
          <w:tcPr>
            <w:tcW w:w="1201" w:type="dxa"/>
            <w:noWrap/>
            <w:tcMar>
              <w:top w:w="0" w:type="dxa"/>
              <w:left w:w="108" w:type="dxa"/>
              <w:bottom w:w="0" w:type="dxa"/>
              <w:right w:w="108" w:type="dxa"/>
            </w:tcMar>
            <w:vAlign w:val="center"/>
            <w:hideMark/>
          </w:tcPr>
          <w:p w14:paraId="5CE6C8E1"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Dead</w:t>
            </w:r>
          </w:p>
        </w:tc>
        <w:tc>
          <w:tcPr>
            <w:tcW w:w="1201" w:type="dxa"/>
            <w:noWrap/>
            <w:tcMar>
              <w:top w:w="0" w:type="dxa"/>
              <w:left w:w="108" w:type="dxa"/>
              <w:bottom w:w="0" w:type="dxa"/>
              <w:right w:w="108" w:type="dxa"/>
            </w:tcMar>
            <w:vAlign w:val="center"/>
            <w:hideMark/>
          </w:tcPr>
          <w:p w14:paraId="1CB54A84"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9</w:t>
            </w:r>
          </w:p>
        </w:tc>
        <w:tc>
          <w:tcPr>
            <w:tcW w:w="647" w:type="dxa"/>
            <w:noWrap/>
            <w:tcMar>
              <w:top w:w="0" w:type="dxa"/>
              <w:left w:w="108" w:type="dxa"/>
              <w:bottom w:w="0" w:type="dxa"/>
              <w:right w:w="108" w:type="dxa"/>
            </w:tcMar>
            <w:vAlign w:val="center"/>
            <w:hideMark/>
          </w:tcPr>
          <w:p w14:paraId="71F86E36"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138</w:t>
            </w:r>
          </w:p>
        </w:tc>
        <w:tc>
          <w:tcPr>
            <w:tcW w:w="1038" w:type="dxa"/>
            <w:noWrap/>
            <w:tcMar>
              <w:top w:w="0" w:type="dxa"/>
              <w:left w:w="108" w:type="dxa"/>
              <w:bottom w:w="0" w:type="dxa"/>
              <w:right w:w="108" w:type="dxa"/>
            </w:tcMar>
            <w:vAlign w:val="center"/>
            <w:hideMark/>
          </w:tcPr>
          <w:p w14:paraId="62A8F9A9"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1,007</w:t>
            </w:r>
          </w:p>
        </w:tc>
        <w:tc>
          <w:tcPr>
            <w:tcW w:w="924" w:type="dxa"/>
            <w:noWrap/>
            <w:tcMar>
              <w:top w:w="0" w:type="dxa"/>
              <w:left w:w="108" w:type="dxa"/>
              <w:bottom w:w="0" w:type="dxa"/>
              <w:right w:w="108" w:type="dxa"/>
            </w:tcMar>
            <w:vAlign w:val="center"/>
            <w:hideMark/>
          </w:tcPr>
          <w:p w14:paraId="077EC5C1"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6,636</w:t>
            </w:r>
          </w:p>
        </w:tc>
        <w:tc>
          <w:tcPr>
            <w:tcW w:w="923" w:type="dxa"/>
            <w:noWrap/>
            <w:tcMar>
              <w:top w:w="0" w:type="dxa"/>
              <w:left w:w="108" w:type="dxa"/>
              <w:bottom w:w="0" w:type="dxa"/>
              <w:right w:w="108" w:type="dxa"/>
            </w:tcMar>
            <w:vAlign w:val="center"/>
            <w:hideMark/>
          </w:tcPr>
          <w:p w14:paraId="25752C2C"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7,790</w:t>
            </w:r>
          </w:p>
        </w:tc>
      </w:tr>
      <w:tr w:rsidR="00746F90" w:rsidRPr="00AF2F7E" w14:paraId="7045965B" w14:textId="77777777" w:rsidTr="00746F90">
        <w:trPr>
          <w:trHeight w:val="251"/>
        </w:trPr>
        <w:tc>
          <w:tcPr>
            <w:tcW w:w="1771" w:type="dxa"/>
            <w:tcBorders>
              <w:top w:val="nil"/>
              <w:left w:val="nil"/>
              <w:bottom w:val="single" w:sz="8" w:space="0" w:color="auto"/>
              <w:right w:val="nil"/>
            </w:tcBorders>
            <w:noWrap/>
            <w:tcMar>
              <w:top w:w="0" w:type="dxa"/>
              <w:left w:w="108" w:type="dxa"/>
              <w:bottom w:w="0" w:type="dxa"/>
              <w:right w:w="108" w:type="dxa"/>
            </w:tcMar>
            <w:hideMark/>
          </w:tcPr>
          <w:p w14:paraId="0D25C6E3"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8" w:space="0" w:color="auto"/>
              <w:right w:val="nil"/>
            </w:tcBorders>
            <w:noWrap/>
            <w:tcMar>
              <w:top w:w="0" w:type="dxa"/>
              <w:left w:w="108" w:type="dxa"/>
              <w:bottom w:w="0" w:type="dxa"/>
              <w:right w:w="108" w:type="dxa"/>
            </w:tcMar>
            <w:hideMark/>
          </w:tcPr>
          <w:p w14:paraId="7D4BAA95"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8" w:space="0" w:color="auto"/>
              <w:right w:val="nil"/>
            </w:tcBorders>
            <w:noWrap/>
            <w:tcMar>
              <w:top w:w="0" w:type="dxa"/>
              <w:left w:w="108" w:type="dxa"/>
              <w:bottom w:w="0" w:type="dxa"/>
              <w:right w:w="108" w:type="dxa"/>
            </w:tcMar>
            <w:vAlign w:val="center"/>
            <w:hideMark/>
          </w:tcPr>
          <w:p w14:paraId="5ADC1834" w14:textId="7DE41FEE" w:rsidR="00AF2F7E" w:rsidRPr="00AF2F7E" w:rsidRDefault="00AF2F7E" w:rsidP="00746F90">
            <w:pPr>
              <w:spacing w:after="0" w:line="240" w:lineRule="auto"/>
              <w:jc w:val="right"/>
              <w:rPr>
                <w:rFonts w:ascii="Calibri" w:eastAsia="Calibri" w:hAnsi="Calibri" w:cs="Calibri"/>
                <w:color w:val="000000"/>
                <w:lang w:val="en-CA"/>
              </w:rPr>
            </w:pPr>
          </w:p>
        </w:tc>
        <w:tc>
          <w:tcPr>
            <w:tcW w:w="647" w:type="dxa"/>
            <w:tcBorders>
              <w:top w:val="nil"/>
              <w:left w:val="nil"/>
              <w:bottom w:val="single" w:sz="8" w:space="0" w:color="auto"/>
              <w:right w:val="nil"/>
            </w:tcBorders>
            <w:noWrap/>
            <w:tcMar>
              <w:top w:w="0" w:type="dxa"/>
              <w:left w:w="108" w:type="dxa"/>
              <w:bottom w:w="0" w:type="dxa"/>
              <w:right w:w="108" w:type="dxa"/>
            </w:tcMar>
            <w:vAlign w:val="center"/>
            <w:hideMark/>
          </w:tcPr>
          <w:p w14:paraId="48996951" w14:textId="33A9DC0E" w:rsidR="00AF2F7E" w:rsidRPr="00AF2F7E" w:rsidRDefault="00AF2F7E" w:rsidP="00746F90">
            <w:pPr>
              <w:spacing w:after="0" w:line="240" w:lineRule="auto"/>
              <w:jc w:val="right"/>
              <w:rPr>
                <w:rFonts w:ascii="Calibri" w:eastAsia="Calibri" w:hAnsi="Calibri" w:cs="Calibri"/>
                <w:color w:val="000000"/>
                <w:lang w:val="en-CA"/>
              </w:rPr>
            </w:pPr>
          </w:p>
        </w:tc>
        <w:tc>
          <w:tcPr>
            <w:tcW w:w="1038" w:type="dxa"/>
            <w:tcBorders>
              <w:top w:val="nil"/>
              <w:left w:val="nil"/>
              <w:bottom w:val="single" w:sz="8" w:space="0" w:color="auto"/>
              <w:right w:val="nil"/>
            </w:tcBorders>
            <w:noWrap/>
            <w:tcMar>
              <w:top w:w="0" w:type="dxa"/>
              <w:left w:w="108" w:type="dxa"/>
              <w:bottom w:w="0" w:type="dxa"/>
              <w:right w:w="108" w:type="dxa"/>
            </w:tcMar>
            <w:vAlign w:val="center"/>
            <w:hideMark/>
          </w:tcPr>
          <w:p w14:paraId="406A2DE1" w14:textId="43E9750B" w:rsidR="00AF2F7E" w:rsidRPr="00AF2F7E" w:rsidRDefault="00AF2F7E" w:rsidP="00746F90">
            <w:pPr>
              <w:spacing w:after="0" w:line="240" w:lineRule="auto"/>
              <w:jc w:val="right"/>
              <w:rPr>
                <w:rFonts w:ascii="Calibri" w:eastAsia="Calibri" w:hAnsi="Calibri" w:cs="Calibri"/>
                <w:color w:val="000000"/>
                <w:lang w:val="en-CA"/>
              </w:rPr>
            </w:pPr>
          </w:p>
        </w:tc>
        <w:tc>
          <w:tcPr>
            <w:tcW w:w="924" w:type="dxa"/>
            <w:tcBorders>
              <w:top w:val="nil"/>
              <w:left w:val="nil"/>
              <w:bottom w:val="single" w:sz="8" w:space="0" w:color="auto"/>
              <w:right w:val="nil"/>
            </w:tcBorders>
            <w:noWrap/>
            <w:tcMar>
              <w:top w:w="0" w:type="dxa"/>
              <w:left w:w="108" w:type="dxa"/>
              <w:bottom w:w="0" w:type="dxa"/>
              <w:right w:w="108" w:type="dxa"/>
            </w:tcMar>
            <w:vAlign w:val="center"/>
            <w:hideMark/>
          </w:tcPr>
          <w:p w14:paraId="446EE854" w14:textId="166BE2D3" w:rsidR="00AF2F7E" w:rsidRPr="00AF2F7E" w:rsidRDefault="00AF2F7E" w:rsidP="00746F90">
            <w:pPr>
              <w:spacing w:after="0" w:line="240" w:lineRule="auto"/>
              <w:jc w:val="right"/>
              <w:rPr>
                <w:rFonts w:ascii="Calibri" w:eastAsia="Calibri" w:hAnsi="Calibri" w:cs="Calibri"/>
                <w:color w:val="000000"/>
                <w:lang w:val="en-CA"/>
              </w:rPr>
            </w:pPr>
          </w:p>
        </w:tc>
        <w:tc>
          <w:tcPr>
            <w:tcW w:w="923" w:type="dxa"/>
            <w:tcBorders>
              <w:top w:val="nil"/>
              <w:left w:val="nil"/>
              <w:bottom w:val="single" w:sz="8" w:space="0" w:color="auto"/>
              <w:right w:val="nil"/>
            </w:tcBorders>
            <w:noWrap/>
            <w:tcMar>
              <w:top w:w="0" w:type="dxa"/>
              <w:left w:w="108" w:type="dxa"/>
              <w:bottom w:w="0" w:type="dxa"/>
              <w:right w:w="108" w:type="dxa"/>
            </w:tcMar>
            <w:vAlign w:val="center"/>
            <w:hideMark/>
          </w:tcPr>
          <w:p w14:paraId="6DD3C551"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16,769</w:t>
            </w:r>
          </w:p>
        </w:tc>
      </w:tr>
      <w:tr w:rsidR="00746F90" w:rsidRPr="00AF2F7E" w14:paraId="78CEDC60" w14:textId="77777777" w:rsidTr="00746F90">
        <w:trPr>
          <w:trHeight w:val="241"/>
        </w:trPr>
        <w:tc>
          <w:tcPr>
            <w:tcW w:w="1771" w:type="dxa"/>
            <w:noWrap/>
            <w:tcMar>
              <w:top w:w="0" w:type="dxa"/>
              <w:left w:w="108" w:type="dxa"/>
              <w:bottom w:w="0" w:type="dxa"/>
              <w:right w:w="108" w:type="dxa"/>
            </w:tcMar>
            <w:vAlign w:val="center"/>
            <w:hideMark/>
          </w:tcPr>
          <w:p w14:paraId="38A60A7C"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Williams Lake</w:t>
            </w:r>
          </w:p>
        </w:tc>
        <w:tc>
          <w:tcPr>
            <w:tcW w:w="1201" w:type="dxa"/>
            <w:noWrap/>
            <w:tcMar>
              <w:top w:w="0" w:type="dxa"/>
              <w:left w:w="108" w:type="dxa"/>
              <w:bottom w:w="0" w:type="dxa"/>
              <w:right w:w="108" w:type="dxa"/>
            </w:tcMar>
            <w:vAlign w:val="center"/>
            <w:hideMark/>
          </w:tcPr>
          <w:p w14:paraId="54ED0067"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Live</w:t>
            </w:r>
          </w:p>
        </w:tc>
        <w:tc>
          <w:tcPr>
            <w:tcW w:w="1201" w:type="dxa"/>
            <w:noWrap/>
            <w:tcMar>
              <w:top w:w="0" w:type="dxa"/>
              <w:left w:w="108" w:type="dxa"/>
              <w:bottom w:w="0" w:type="dxa"/>
              <w:right w:w="108" w:type="dxa"/>
            </w:tcMar>
            <w:vAlign w:val="center"/>
            <w:hideMark/>
          </w:tcPr>
          <w:p w14:paraId="23354297"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54</w:t>
            </w:r>
          </w:p>
        </w:tc>
        <w:tc>
          <w:tcPr>
            <w:tcW w:w="647" w:type="dxa"/>
            <w:noWrap/>
            <w:tcMar>
              <w:top w:w="0" w:type="dxa"/>
              <w:left w:w="108" w:type="dxa"/>
              <w:bottom w:w="0" w:type="dxa"/>
              <w:right w:w="108" w:type="dxa"/>
            </w:tcMar>
            <w:vAlign w:val="center"/>
            <w:hideMark/>
          </w:tcPr>
          <w:p w14:paraId="4D486628"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320</w:t>
            </w:r>
          </w:p>
        </w:tc>
        <w:tc>
          <w:tcPr>
            <w:tcW w:w="1038" w:type="dxa"/>
            <w:noWrap/>
            <w:tcMar>
              <w:top w:w="0" w:type="dxa"/>
              <w:left w:w="108" w:type="dxa"/>
              <w:bottom w:w="0" w:type="dxa"/>
              <w:right w:w="108" w:type="dxa"/>
            </w:tcMar>
            <w:vAlign w:val="center"/>
            <w:hideMark/>
          </w:tcPr>
          <w:p w14:paraId="6D83FB6C"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1,079</w:t>
            </w:r>
          </w:p>
        </w:tc>
        <w:tc>
          <w:tcPr>
            <w:tcW w:w="924" w:type="dxa"/>
            <w:noWrap/>
            <w:tcMar>
              <w:top w:w="0" w:type="dxa"/>
              <w:left w:w="108" w:type="dxa"/>
              <w:bottom w:w="0" w:type="dxa"/>
              <w:right w:w="108" w:type="dxa"/>
            </w:tcMar>
            <w:vAlign w:val="center"/>
            <w:hideMark/>
          </w:tcPr>
          <w:p w14:paraId="7B5157D7"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6,700</w:t>
            </w:r>
          </w:p>
        </w:tc>
        <w:tc>
          <w:tcPr>
            <w:tcW w:w="923" w:type="dxa"/>
            <w:noWrap/>
            <w:tcMar>
              <w:top w:w="0" w:type="dxa"/>
              <w:left w:w="108" w:type="dxa"/>
              <w:bottom w:w="0" w:type="dxa"/>
              <w:right w:w="108" w:type="dxa"/>
            </w:tcMar>
            <w:vAlign w:val="center"/>
            <w:hideMark/>
          </w:tcPr>
          <w:p w14:paraId="7AA3CBD0"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8,153</w:t>
            </w:r>
          </w:p>
        </w:tc>
      </w:tr>
      <w:tr w:rsidR="00746F90" w:rsidRPr="00AF2F7E" w14:paraId="5C2A2DC9" w14:textId="77777777" w:rsidTr="00746F90">
        <w:trPr>
          <w:trHeight w:val="251"/>
        </w:trPr>
        <w:tc>
          <w:tcPr>
            <w:tcW w:w="1771" w:type="dxa"/>
            <w:noWrap/>
            <w:tcMar>
              <w:top w:w="0" w:type="dxa"/>
              <w:left w:w="108" w:type="dxa"/>
              <w:bottom w:w="0" w:type="dxa"/>
              <w:right w:w="108" w:type="dxa"/>
            </w:tcMar>
            <w:hideMark/>
          </w:tcPr>
          <w:p w14:paraId="32E94BC8" w14:textId="77777777" w:rsidR="00AF2F7E" w:rsidRPr="00AF2F7E" w:rsidRDefault="00AF2F7E" w:rsidP="00AF2F7E">
            <w:pPr>
              <w:spacing w:after="0" w:line="240" w:lineRule="auto"/>
              <w:rPr>
                <w:rFonts w:ascii="Times New Roman" w:eastAsia="Times New Roman" w:hAnsi="Times New Roman" w:cs="Times New Roman"/>
                <w:sz w:val="20"/>
                <w:szCs w:val="20"/>
                <w:lang w:val="en-CA" w:eastAsia="en-CA"/>
              </w:rPr>
            </w:pPr>
          </w:p>
        </w:tc>
        <w:tc>
          <w:tcPr>
            <w:tcW w:w="1201" w:type="dxa"/>
            <w:noWrap/>
            <w:tcMar>
              <w:top w:w="0" w:type="dxa"/>
              <w:left w:w="108" w:type="dxa"/>
              <w:bottom w:w="0" w:type="dxa"/>
              <w:right w:w="108" w:type="dxa"/>
            </w:tcMar>
            <w:vAlign w:val="center"/>
            <w:hideMark/>
          </w:tcPr>
          <w:p w14:paraId="3B0D09B4"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Dead</w:t>
            </w:r>
          </w:p>
        </w:tc>
        <w:tc>
          <w:tcPr>
            <w:tcW w:w="1201" w:type="dxa"/>
            <w:noWrap/>
            <w:tcMar>
              <w:top w:w="0" w:type="dxa"/>
              <w:left w:w="108" w:type="dxa"/>
              <w:bottom w:w="0" w:type="dxa"/>
              <w:right w:w="108" w:type="dxa"/>
            </w:tcMar>
            <w:vAlign w:val="center"/>
            <w:hideMark/>
          </w:tcPr>
          <w:p w14:paraId="7E3A1441"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9</w:t>
            </w:r>
          </w:p>
        </w:tc>
        <w:tc>
          <w:tcPr>
            <w:tcW w:w="647" w:type="dxa"/>
            <w:noWrap/>
            <w:tcMar>
              <w:top w:w="0" w:type="dxa"/>
              <w:left w:w="108" w:type="dxa"/>
              <w:bottom w:w="0" w:type="dxa"/>
              <w:right w:w="108" w:type="dxa"/>
            </w:tcMar>
            <w:vAlign w:val="center"/>
            <w:hideMark/>
          </w:tcPr>
          <w:p w14:paraId="152807F6"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52</w:t>
            </w:r>
          </w:p>
        </w:tc>
        <w:tc>
          <w:tcPr>
            <w:tcW w:w="1038" w:type="dxa"/>
            <w:noWrap/>
            <w:tcMar>
              <w:top w:w="0" w:type="dxa"/>
              <w:left w:w="108" w:type="dxa"/>
              <w:bottom w:w="0" w:type="dxa"/>
              <w:right w:w="108" w:type="dxa"/>
            </w:tcMar>
            <w:vAlign w:val="center"/>
            <w:hideMark/>
          </w:tcPr>
          <w:p w14:paraId="3BC63612"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441</w:t>
            </w:r>
          </w:p>
        </w:tc>
        <w:tc>
          <w:tcPr>
            <w:tcW w:w="924" w:type="dxa"/>
            <w:noWrap/>
            <w:tcMar>
              <w:top w:w="0" w:type="dxa"/>
              <w:left w:w="108" w:type="dxa"/>
              <w:bottom w:w="0" w:type="dxa"/>
              <w:right w:w="108" w:type="dxa"/>
            </w:tcMar>
            <w:vAlign w:val="center"/>
            <w:hideMark/>
          </w:tcPr>
          <w:p w14:paraId="3E1511E1"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2,693</w:t>
            </w:r>
          </w:p>
        </w:tc>
        <w:tc>
          <w:tcPr>
            <w:tcW w:w="923" w:type="dxa"/>
            <w:noWrap/>
            <w:tcMar>
              <w:top w:w="0" w:type="dxa"/>
              <w:left w:w="108" w:type="dxa"/>
              <w:bottom w:w="0" w:type="dxa"/>
              <w:right w:w="108" w:type="dxa"/>
            </w:tcMar>
            <w:vAlign w:val="center"/>
            <w:hideMark/>
          </w:tcPr>
          <w:p w14:paraId="495BA733"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3,195</w:t>
            </w:r>
          </w:p>
        </w:tc>
      </w:tr>
      <w:tr w:rsidR="00746F90" w:rsidRPr="00AF2F7E" w14:paraId="5F2DE5FB" w14:textId="77777777" w:rsidTr="00746F90">
        <w:trPr>
          <w:trHeight w:val="251"/>
        </w:trPr>
        <w:tc>
          <w:tcPr>
            <w:tcW w:w="1771" w:type="dxa"/>
            <w:tcBorders>
              <w:top w:val="nil"/>
              <w:left w:val="nil"/>
              <w:bottom w:val="single" w:sz="8" w:space="0" w:color="auto"/>
              <w:right w:val="nil"/>
            </w:tcBorders>
            <w:noWrap/>
            <w:tcMar>
              <w:top w:w="0" w:type="dxa"/>
              <w:left w:w="108" w:type="dxa"/>
              <w:bottom w:w="0" w:type="dxa"/>
              <w:right w:w="108" w:type="dxa"/>
            </w:tcMar>
            <w:hideMark/>
          </w:tcPr>
          <w:p w14:paraId="592B6530"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8" w:space="0" w:color="auto"/>
              <w:right w:val="nil"/>
            </w:tcBorders>
            <w:noWrap/>
            <w:tcMar>
              <w:top w:w="0" w:type="dxa"/>
              <w:left w:w="108" w:type="dxa"/>
              <w:bottom w:w="0" w:type="dxa"/>
              <w:right w:w="108" w:type="dxa"/>
            </w:tcMar>
            <w:hideMark/>
          </w:tcPr>
          <w:p w14:paraId="70D5D53A"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8" w:space="0" w:color="auto"/>
              <w:right w:val="nil"/>
            </w:tcBorders>
            <w:noWrap/>
            <w:tcMar>
              <w:top w:w="0" w:type="dxa"/>
              <w:left w:w="108" w:type="dxa"/>
              <w:bottom w:w="0" w:type="dxa"/>
              <w:right w:w="108" w:type="dxa"/>
            </w:tcMar>
            <w:vAlign w:val="center"/>
            <w:hideMark/>
          </w:tcPr>
          <w:p w14:paraId="5661F666" w14:textId="6E3C1045" w:rsidR="00AF2F7E" w:rsidRPr="00AF2F7E" w:rsidRDefault="00AF2F7E" w:rsidP="00746F90">
            <w:pPr>
              <w:spacing w:after="0" w:line="240" w:lineRule="auto"/>
              <w:jc w:val="right"/>
              <w:rPr>
                <w:rFonts w:ascii="Calibri" w:eastAsia="Calibri" w:hAnsi="Calibri" w:cs="Calibri"/>
                <w:color w:val="000000"/>
                <w:lang w:val="en-CA"/>
              </w:rPr>
            </w:pPr>
          </w:p>
        </w:tc>
        <w:tc>
          <w:tcPr>
            <w:tcW w:w="647" w:type="dxa"/>
            <w:tcBorders>
              <w:top w:val="nil"/>
              <w:left w:val="nil"/>
              <w:bottom w:val="single" w:sz="8" w:space="0" w:color="auto"/>
              <w:right w:val="nil"/>
            </w:tcBorders>
            <w:noWrap/>
            <w:tcMar>
              <w:top w:w="0" w:type="dxa"/>
              <w:left w:w="108" w:type="dxa"/>
              <w:bottom w:w="0" w:type="dxa"/>
              <w:right w:w="108" w:type="dxa"/>
            </w:tcMar>
            <w:vAlign w:val="center"/>
            <w:hideMark/>
          </w:tcPr>
          <w:p w14:paraId="0736894A" w14:textId="114908C7" w:rsidR="00AF2F7E" w:rsidRPr="00AF2F7E" w:rsidRDefault="00AF2F7E" w:rsidP="00746F90">
            <w:pPr>
              <w:spacing w:after="0" w:line="240" w:lineRule="auto"/>
              <w:jc w:val="right"/>
              <w:rPr>
                <w:rFonts w:ascii="Calibri" w:eastAsia="Calibri" w:hAnsi="Calibri" w:cs="Calibri"/>
                <w:color w:val="000000"/>
                <w:lang w:val="en-CA"/>
              </w:rPr>
            </w:pPr>
          </w:p>
        </w:tc>
        <w:tc>
          <w:tcPr>
            <w:tcW w:w="1038" w:type="dxa"/>
            <w:tcBorders>
              <w:top w:val="nil"/>
              <w:left w:val="nil"/>
              <w:bottom w:val="single" w:sz="8" w:space="0" w:color="auto"/>
              <w:right w:val="nil"/>
            </w:tcBorders>
            <w:noWrap/>
            <w:tcMar>
              <w:top w:w="0" w:type="dxa"/>
              <w:left w:w="108" w:type="dxa"/>
              <w:bottom w:w="0" w:type="dxa"/>
              <w:right w:w="108" w:type="dxa"/>
            </w:tcMar>
            <w:vAlign w:val="center"/>
            <w:hideMark/>
          </w:tcPr>
          <w:p w14:paraId="523D9461" w14:textId="39E26860" w:rsidR="00AF2F7E" w:rsidRPr="00AF2F7E" w:rsidRDefault="00AF2F7E" w:rsidP="00746F90">
            <w:pPr>
              <w:spacing w:after="0" w:line="240" w:lineRule="auto"/>
              <w:jc w:val="right"/>
              <w:rPr>
                <w:rFonts w:ascii="Calibri" w:eastAsia="Calibri" w:hAnsi="Calibri" w:cs="Calibri"/>
                <w:color w:val="000000"/>
                <w:lang w:val="en-CA"/>
              </w:rPr>
            </w:pPr>
          </w:p>
        </w:tc>
        <w:tc>
          <w:tcPr>
            <w:tcW w:w="924" w:type="dxa"/>
            <w:tcBorders>
              <w:top w:val="nil"/>
              <w:left w:val="nil"/>
              <w:bottom w:val="single" w:sz="8" w:space="0" w:color="auto"/>
              <w:right w:val="nil"/>
            </w:tcBorders>
            <w:noWrap/>
            <w:tcMar>
              <w:top w:w="0" w:type="dxa"/>
              <w:left w:w="108" w:type="dxa"/>
              <w:bottom w:w="0" w:type="dxa"/>
              <w:right w:w="108" w:type="dxa"/>
            </w:tcMar>
            <w:vAlign w:val="center"/>
            <w:hideMark/>
          </w:tcPr>
          <w:p w14:paraId="1F72256E" w14:textId="3DCAF98D" w:rsidR="00AF2F7E" w:rsidRPr="00AF2F7E" w:rsidRDefault="00AF2F7E" w:rsidP="00746F90">
            <w:pPr>
              <w:spacing w:after="0" w:line="240" w:lineRule="auto"/>
              <w:jc w:val="right"/>
              <w:rPr>
                <w:rFonts w:ascii="Calibri" w:eastAsia="Calibri" w:hAnsi="Calibri" w:cs="Calibri"/>
                <w:color w:val="000000"/>
                <w:lang w:val="en-CA"/>
              </w:rPr>
            </w:pPr>
          </w:p>
        </w:tc>
        <w:tc>
          <w:tcPr>
            <w:tcW w:w="923" w:type="dxa"/>
            <w:tcBorders>
              <w:top w:val="nil"/>
              <w:left w:val="nil"/>
              <w:bottom w:val="single" w:sz="8" w:space="0" w:color="auto"/>
              <w:right w:val="nil"/>
            </w:tcBorders>
            <w:noWrap/>
            <w:tcMar>
              <w:top w:w="0" w:type="dxa"/>
              <w:left w:w="108" w:type="dxa"/>
              <w:bottom w:w="0" w:type="dxa"/>
              <w:right w:w="108" w:type="dxa"/>
            </w:tcMar>
            <w:vAlign w:val="center"/>
            <w:hideMark/>
          </w:tcPr>
          <w:p w14:paraId="7912BEC8"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11,348</w:t>
            </w:r>
          </w:p>
        </w:tc>
      </w:tr>
      <w:tr w:rsidR="00746F90" w:rsidRPr="00AF2F7E" w14:paraId="10B70C12" w14:textId="77777777" w:rsidTr="00746F90">
        <w:trPr>
          <w:trHeight w:val="241"/>
        </w:trPr>
        <w:tc>
          <w:tcPr>
            <w:tcW w:w="1771" w:type="dxa"/>
            <w:noWrap/>
            <w:tcMar>
              <w:top w:w="0" w:type="dxa"/>
              <w:left w:w="108" w:type="dxa"/>
              <w:bottom w:w="0" w:type="dxa"/>
              <w:right w:w="108" w:type="dxa"/>
            </w:tcMar>
            <w:vAlign w:val="center"/>
            <w:hideMark/>
          </w:tcPr>
          <w:p w14:paraId="7EDCBA9A"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100 Mile House</w:t>
            </w:r>
          </w:p>
        </w:tc>
        <w:tc>
          <w:tcPr>
            <w:tcW w:w="1201" w:type="dxa"/>
            <w:noWrap/>
            <w:tcMar>
              <w:top w:w="0" w:type="dxa"/>
              <w:left w:w="108" w:type="dxa"/>
              <w:bottom w:w="0" w:type="dxa"/>
              <w:right w:w="108" w:type="dxa"/>
            </w:tcMar>
            <w:vAlign w:val="center"/>
            <w:hideMark/>
          </w:tcPr>
          <w:p w14:paraId="74EF9FC7"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Live</w:t>
            </w:r>
          </w:p>
        </w:tc>
        <w:tc>
          <w:tcPr>
            <w:tcW w:w="1201" w:type="dxa"/>
            <w:noWrap/>
            <w:tcMar>
              <w:top w:w="0" w:type="dxa"/>
              <w:left w:w="108" w:type="dxa"/>
              <w:bottom w:w="0" w:type="dxa"/>
              <w:right w:w="108" w:type="dxa"/>
            </w:tcMar>
            <w:vAlign w:val="center"/>
            <w:hideMark/>
          </w:tcPr>
          <w:p w14:paraId="27D17C79"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26</w:t>
            </w:r>
          </w:p>
        </w:tc>
        <w:tc>
          <w:tcPr>
            <w:tcW w:w="647" w:type="dxa"/>
            <w:noWrap/>
            <w:tcMar>
              <w:top w:w="0" w:type="dxa"/>
              <w:left w:w="108" w:type="dxa"/>
              <w:bottom w:w="0" w:type="dxa"/>
              <w:right w:w="108" w:type="dxa"/>
            </w:tcMar>
            <w:vAlign w:val="center"/>
            <w:hideMark/>
          </w:tcPr>
          <w:p w14:paraId="2AA0E614"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320</w:t>
            </w:r>
          </w:p>
        </w:tc>
        <w:tc>
          <w:tcPr>
            <w:tcW w:w="1038" w:type="dxa"/>
            <w:noWrap/>
            <w:tcMar>
              <w:top w:w="0" w:type="dxa"/>
              <w:left w:w="108" w:type="dxa"/>
              <w:bottom w:w="0" w:type="dxa"/>
              <w:right w:w="108" w:type="dxa"/>
            </w:tcMar>
            <w:vAlign w:val="center"/>
            <w:hideMark/>
          </w:tcPr>
          <w:p w14:paraId="79A768FA"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585</w:t>
            </w:r>
          </w:p>
        </w:tc>
        <w:tc>
          <w:tcPr>
            <w:tcW w:w="924" w:type="dxa"/>
            <w:noWrap/>
            <w:tcMar>
              <w:top w:w="0" w:type="dxa"/>
              <w:left w:w="108" w:type="dxa"/>
              <w:bottom w:w="0" w:type="dxa"/>
              <w:right w:w="108" w:type="dxa"/>
            </w:tcMar>
            <w:vAlign w:val="center"/>
            <w:hideMark/>
          </w:tcPr>
          <w:p w14:paraId="26732540"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2,835</w:t>
            </w:r>
          </w:p>
        </w:tc>
        <w:tc>
          <w:tcPr>
            <w:tcW w:w="923" w:type="dxa"/>
            <w:noWrap/>
            <w:tcMar>
              <w:top w:w="0" w:type="dxa"/>
              <w:left w:w="108" w:type="dxa"/>
              <w:bottom w:w="0" w:type="dxa"/>
              <w:right w:w="108" w:type="dxa"/>
            </w:tcMar>
            <w:vAlign w:val="center"/>
            <w:hideMark/>
          </w:tcPr>
          <w:p w14:paraId="2A68C76B"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3,766</w:t>
            </w:r>
          </w:p>
        </w:tc>
      </w:tr>
      <w:tr w:rsidR="00746F90" w:rsidRPr="00AF2F7E" w14:paraId="39C7E008" w14:textId="77777777" w:rsidTr="00746F90">
        <w:trPr>
          <w:trHeight w:val="251"/>
        </w:trPr>
        <w:tc>
          <w:tcPr>
            <w:tcW w:w="1771" w:type="dxa"/>
            <w:noWrap/>
            <w:tcMar>
              <w:top w:w="0" w:type="dxa"/>
              <w:left w:w="108" w:type="dxa"/>
              <w:bottom w:w="0" w:type="dxa"/>
              <w:right w:w="108" w:type="dxa"/>
            </w:tcMar>
            <w:hideMark/>
          </w:tcPr>
          <w:p w14:paraId="5956CADB" w14:textId="77777777" w:rsidR="00AF2F7E" w:rsidRPr="00AF2F7E" w:rsidRDefault="00AF2F7E" w:rsidP="00AF2F7E">
            <w:pPr>
              <w:spacing w:after="0" w:line="240" w:lineRule="auto"/>
              <w:rPr>
                <w:rFonts w:ascii="Times New Roman" w:eastAsia="Times New Roman" w:hAnsi="Times New Roman" w:cs="Times New Roman"/>
                <w:sz w:val="20"/>
                <w:szCs w:val="20"/>
                <w:lang w:val="en-CA" w:eastAsia="en-CA"/>
              </w:rPr>
            </w:pPr>
          </w:p>
        </w:tc>
        <w:tc>
          <w:tcPr>
            <w:tcW w:w="1201" w:type="dxa"/>
            <w:noWrap/>
            <w:tcMar>
              <w:top w:w="0" w:type="dxa"/>
              <w:left w:w="108" w:type="dxa"/>
              <w:bottom w:w="0" w:type="dxa"/>
              <w:right w:w="108" w:type="dxa"/>
            </w:tcMar>
            <w:vAlign w:val="center"/>
            <w:hideMark/>
          </w:tcPr>
          <w:p w14:paraId="71B115DD"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Dead</w:t>
            </w:r>
          </w:p>
        </w:tc>
        <w:tc>
          <w:tcPr>
            <w:tcW w:w="1201" w:type="dxa"/>
            <w:noWrap/>
            <w:tcMar>
              <w:top w:w="0" w:type="dxa"/>
              <w:left w:w="108" w:type="dxa"/>
              <w:bottom w:w="0" w:type="dxa"/>
              <w:right w:w="108" w:type="dxa"/>
            </w:tcMar>
            <w:vAlign w:val="center"/>
            <w:hideMark/>
          </w:tcPr>
          <w:p w14:paraId="31A0A51D"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3</w:t>
            </w:r>
          </w:p>
        </w:tc>
        <w:tc>
          <w:tcPr>
            <w:tcW w:w="647" w:type="dxa"/>
            <w:noWrap/>
            <w:tcMar>
              <w:top w:w="0" w:type="dxa"/>
              <w:left w:w="108" w:type="dxa"/>
              <w:bottom w:w="0" w:type="dxa"/>
              <w:right w:w="108" w:type="dxa"/>
            </w:tcMar>
            <w:vAlign w:val="center"/>
            <w:hideMark/>
          </w:tcPr>
          <w:p w14:paraId="7AEB1DAD"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49</w:t>
            </w:r>
          </w:p>
        </w:tc>
        <w:tc>
          <w:tcPr>
            <w:tcW w:w="1038" w:type="dxa"/>
            <w:noWrap/>
            <w:tcMar>
              <w:top w:w="0" w:type="dxa"/>
              <w:left w:w="108" w:type="dxa"/>
              <w:bottom w:w="0" w:type="dxa"/>
              <w:right w:w="108" w:type="dxa"/>
            </w:tcMar>
            <w:vAlign w:val="center"/>
            <w:hideMark/>
          </w:tcPr>
          <w:p w14:paraId="28DE7561"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130</w:t>
            </w:r>
          </w:p>
        </w:tc>
        <w:tc>
          <w:tcPr>
            <w:tcW w:w="924" w:type="dxa"/>
            <w:noWrap/>
            <w:tcMar>
              <w:top w:w="0" w:type="dxa"/>
              <w:left w:w="108" w:type="dxa"/>
              <w:bottom w:w="0" w:type="dxa"/>
              <w:right w:w="108" w:type="dxa"/>
            </w:tcMar>
            <w:vAlign w:val="center"/>
            <w:hideMark/>
          </w:tcPr>
          <w:p w14:paraId="7949C38E"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658</w:t>
            </w:r>
          </w:p>
        </w:tc>
        <w:tc>
          <w:tcPr>
            <w:tcW w:w="923" w:type="dxa"/>
            <w:noWrap/>
            <w:tcMar>
              <w:top w:w="0" w:type="dxa"/>
              <w:left w:w="108" w:type="dxa"/>
              <w:bottom w:w="0" w:type="dxa"/>
              <w:right w:w="108" w:type="dxa"/>
            </w:tcMar>
            <w:vAlign w:val="center"/>
            <w:hideMark/>
          </w:tcPr>
          <w:p w14:paraId="1DE01D11"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839</w:t>
            </w:r>
          </w:p>
        </w:tc>
      </w:tr>
      <w:tr w:rsidR="00746F90" w:rsidRPr="00AF2F7E" w14:paraId="0243EE61" w14:textId="77777777" w:rsidTr="00746F90">
        <w:trPr>
          <w:trHeight w:val="251"/>
        </w:trPr>
        <w:tc>
          <w:tcPr>
            <w:tcW w:w="1771" w:type="dxa"/>
            <w:tcBorders>
              <w:top w:val="nil"/>
              <w:left w:val="nil"/>
              <w:bottom w:val="single" w:sz="8" w:space="0" w:color="auto"/>
              <w:right w:val="nil"/>
            </w:tcBorders>
            <w:noWrap/>
            <w:tcMar>
              <w:top w:w="0" w:type="dxa"/>
              <w:left w:w="108" w:type="dxa"/>
              <w:bottom w:w="0" w:type="dxa"/>
              <w:right w:w="108" w:type="dxa"/>
            </w:tcMar>
            <w:hideMark/>
          </w:tcPr>
          <w:p w14:paraId="43EA57FD"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8" w:space="0" w:color="auto"/>
              <w:right w:val="nil"/>
            </w:tcBorders>
            <w:noWrap/>
            <w:tcMar>
              <w:top w:w="0" w:type="dxa"/>
              <w:left w:w="108" w:type="dxa"/>
              <w:bottom w:w="0" w:type="dxa"/>
              <w:right w:w="108" w:type="dxa"/>
            </w:tcMar>
            <w:hideMark/>
          </w:tcPr>
          <w:p w14:paraId="103E70E3"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8" w:space="0" w:color="auto"/>
              <w:right w:val="nil"/>
            </w:tcBorders>
            <w:noWrap/>
            <w:tcMar>
              <w:top w:w="0" w:type="dxa"/>
              <w:left w:w="108" w:type="dxa"/>
              <w:bottom w:w="0" w:type="dxa"/>
              <w:right w:w="108" w:type="dxa"/>
            </w:tcMar>
            <w:vAlign w:val="center"/>
            <w:hideMark/>
          </w:tcPr>
          <w:p w14:paraId="467D5E20" w14:textId="2ED4656C" w:rsidR="00AF2F7E" w:rsidRPr="00AF2F7E" w:rsidRDefault="00AF2F7E" w:rsidP="00746F90">
            <w:pPr>
              <w:spacing w:after="0" w:line="240" w:lineRule="auto"/>
              <w:jc w:val="right"/>
              <w:rPr>
                <w:rFonts w:ascii="Calibri" w:eastAsia="Calibri" w:hAnsi="Calibri" w:cs="Calibri"/>
                <w:color w:val="000000"/>
                <w:lang w:val="en-CA"/>
              </w:rPr>
            </w:pPr>
          </w:p>
        </w:tc>
        <w:tc>
          <w:tcPr>
            <w:tcW w:w="647" w:type="dxa"/>
            <w:tcBorders>
              <w:top w:val="nil"/>
              <w:left w:val="nil"/>
              <w:bottom w:val="single" w:sz="8" w:space="0" w:color="auto"/>
              <w:right w:val="nil"/>
            </w:tcBorders>
            <w:noWrap/>
            <w:tcMar>
              <w:top w:w="0" w:type="dxa"/>
              <w:left w:w="108" w:type="dxa"/>
              <w:bottom w:w="0" w:type="dxa"/>
              <w:right w:w="108" w:type="dxa"/>
            </w:tcMar>
            <w:vAlign w:val="center"/>
            <w:hideMark/>
          </w:tcPr>
          <w:p w14:paraId="5290CB2A" w14:textId="2543B9DA" w:rsidR="00AF2F7E" w:rsidRPr="00AF2F7E" w:rsidRDefault="00AF2F7E" w:rsidP="00746F90">
            <w:pPr>
              <w:spacing w:after="0" w:line="240" w:lineRule="auto"/>
              <w:jc w:val="right"/>
              <w:rPr>
                <w:rFonts w:ascii="Calibri" w:eastAsia="Calibri" w:hAnsi="Calibri" w:cs="Calibri"/>
                <w:color w:val="000000"/>
                <w:lang w:val="en-CA"/>
              </w:rPr>
            </w:pPr>
          </w:p>
        </w:tc>
        <w:tc>
          <w:tcPr>
            <w:tcW w:w="1038" w:type="dxa"/>
            <w:tcBorders>
              <w:top w:val="nil"/>
              <w:left w:val="nil"/>
              <w:bottom w:val="single" w:sz="8" w:space="0" w:color="auto"/>
              <w:right w:val="nil"/>
            </w:tcBorders>
            <w:noWrap/>
            <w:tcMar>
              <w:top w:w="0" w:type="dxa"/>
              <w:left w:w="108" w:type="dxa"/>
              <w:bottom w:w="0" w:type="dxa"/>
              <w:right w:w="108" w:type="dxa"/>
            </w:tcMar>
            <w:vAlign w:val="center"/>
            <w:hideMark/>
          </w:tcPr>
          <w:p w14:paraId="17CEE66C" w14:textId="323D9CF7" w:rsidR="00AF2F7E" w:rsidRPr="00AF2F7E" w:rsidRDefault="00AF2F7E" w:rsidP="00746F90">
            <w:pPr>
              <w:spacing w:after="0" w:line="240" w:lineRule="auto"/>
              <w:jc w:val="right"/>
              <w:rPr>
                <w:rFonts w:ascii="Calibri" w:eastAsia="Calibri" w:hAnsi="Calibri" w:cs="Calibri"/>
                <w:color w:val="000000"/>
                <w:lang w:val="en-CA"/>
              </w:rPr>
            </w:pPr>
          </w:p>
        </w:tc>
        <w:tc>
          <w:tcPr>
            <w:tcW w:w="924" w:type="dxa"/>
            <w:tcBorders>
              <w:top w:val="nil"/>
              <w:left w:val="nil"/>
              <w:bottom w:val="single" w:sz="8" w:space="0" w:color="auto"/>
              <w:right w:val="nil"/>
            </w:tcBorders>
            <w:noWrap/>
            <w:tcMar>
              <w:top w:w="0" w:type="dxa"/>
              <w:left w:w="108" w:type="dxa"/>
              <w:bottom w:w="0" w:type="dxa"/>
              <w:right w:w="108" w:type="dxa"/>
            </w:tcMar>
            <w:vAlign w:val="center"/>
            <w:hideMark/>
          </w:tcPr>
          <w:p w14:paraId="776A80BE" w14:textId="00BB6F20" w:rsidR="00AF2F7E" w:rsidRPr="00AF2F7E" w:rsidRDefault="00AF2F7E" w:rsidP="00746F90">
            <w:pPr>
              <w:spacing w:after="0" w:line="240" w:lineRule="auto"/>
              <w:jc w:val="right"/>
              <w:rPr>
                <w:rFonts w:ascii="Calibri" w:eastAsia="Calibri" w:hAnsi="Calibri" w:cs="Calibri"/>
                <w:color w:val="000000"/>
                <w:lang w:val="en-CA"/>
              </w:rPr>
            </w:pPr>
          </w:p>
        </w:tc>
        <w:tc>
          <w:tcPr>
            <w:tcW w:w="923" w:type="dxa"/>
            <w:tcBorders>
              <w:top w:val="nil"/>
              <w:left w:val="nil"/>
              <w:bottom w:val="single" w:sz="8" w:space="0" w:color="auto"/>
              <w:right w:val="nil"/>
            </w:tcBorders>
            <w:noWrap/>
            <w:tcMar>
              <w:top w:w="0" w:type="dxa"/>
              <w:left w:w="108" w:type="dxa"/>
              <w:bottom w:w="0" w:type="dxa"/>
              <w:right w:w="108" w:type="dxa"/>
            </w:tcMar>
            <w:vAlign w:val="center"/>
            <w:hideMark/>
          </w:tcPr>
          <w:p w14:paraId="4BD9EC1D"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4,604</w:t>
            </w:r>
          </w:p>
        </w:tc>
      </w:tr>
      <w:tr w:rsidR="00746F90" w:rsidRPr="00AF2F7E" w14:paraId="220F8616" w14:textId="77777777" w:rsidTr="00746F90">
        <w:trPr>
          <w:trHeight w:val="241"/>
        </w:trPr>
        <w:tc>
          <w:tcPr>
            <w:tcW w:w="1771" w:type="dxa"/>
            <w:noWrap/>
            <w:tcMar>
              <w:top w:w="0" w:type="dxa"/>
              <w:left w:w="108" w:type="dxa"/>
              <w:bottom w:w="0" w:type="dxa"/>
              <w:right w:w="108" w:type="dxa"/>
            </w:tcMar>
            <w:vAlign w:val="center"/>
            <w:hideMark/>
          </w:tcPr>
          <w:p w14:paraId="031CAA8D"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Kamloops</w:t>
            </w:r>
          </w:p>
        </w:tc>
        <w:tc>
          <w:tcPr>
            <w:tcW w:w="1201" w:type="dxa"/>
            <w:noWrap/>
            <w:tcMar>
              <w:top w:w="0" w:type="dxa"/>
              <w:left w:w="108" w:type="dxa"/>
              <w:bottom w:w="0" w:type="dxa"/>
              <w:right w:w="108" w:type="dxa"/>
            </w:tcMar>
            <w:vAlign w:val="center"/>
            <w:hideMark/>
          </w:tcPr>
          <w:p w14:paraId="7DC7963F"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Live</w:t>
            </w:r>
          </w:p>
        </w:tc>
        <w:tc>
          <w:tcPr>
            <w:tcW w:w="1201" w:type="dxa"/>
            <w:noWrap/>
            <w:tcMar>
              <w:top w:w="0" w:type="dxa"/>
              <w:left w:w="108" w:type="dxa"/>
              <w:bottom w:w="0" w:type="dxa"/>
              <w:right w:w="108" w:type="dxa"/>
            </w:tcMar>
            <w:vAlign w:val="center"/>
            <w:hideMark/>
          </w:tcPr>
          <w:p w14:paraId="6CDBFA79"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7</w:t>
            </w:r>
          </w:p>
        </w:tc>
        <w:tc>
          <w:tcPr>
            <w:tcW w:w="647" w:type="dxa"/>
            <w:noWrap/>
            <w:tcMar>
              <w:top w:w="0" w:type="dxa"/>
              <w:left w:w="108" w:type="dxa"/>
              <w:bottom w:w="0" w:type="dxa"/>
              <w:right w:w="108" w:type="dxa"/>
            </w:tcMar>
            <w:vAlign w:val="center"/>
            <w:hideMark/>
          </w:tcPr>
          <w:p w14:paraId="4E24D570"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88</w:t>
            </w:r>
          </w:p>
        </w:tc>
        <w:tc>
          <w:tcPr>
            <w:tcW w:w="1038" w:type="dxa"/>
            <w:noWrap/>
            <w:tcMar>
              <w:top w:w="0" w:type="dxa"/>
              <w:left w:w="108" w:type="dxa"/>
              <w:bottom w:w="0" w:type="dxa"/>
              <w:right w:w="108" w:type="dxa"/>
            </w:tcMar>
            <w:vAlign w:val="center"/>
            <w:hideMark/>
          </w:tcPr>
          <w:p w14:paraId="761D0FA9"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289</w:t>
            </w:r>
          </w:p>
        </w:tc>
        <w:tc>
          <w:tcPr>
            <w:tcW w:w="924" w:type="dxa"/>
            <w:noWrap/>
            <w:tcMar>
              <w:top w:w="0" w:type="dxa"/>
              <w:left w:w="108" w:type="dxa"/>
              <w:bottom w:w="0" w:type="dxa"/>
              <w:right w:w="108" w:type="dxa"/>
            </w:tcMar>
            <w:vAlign w:val="center"/>
            <w:hideMark/>
          </w:tcPr>
          <w:p w14:paraId="53EECEC3"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1,035</w:t>
            </w:r>
          </w:p>
        </w:tc>
        <w:tc>
          <w:tcPr>
            <w:tcW w:w="923" w:type="dxa"/>
            <w:noWrap/>
            <w:tcMar>
              <w:top w:w="0" w:type="dxa"/>
              <w:left w:w="108" w:type="dxa"/>
              <w:bottom w:w="0" w:type="dxa"/>
              <w:right w:w="108" w:type="dxa"/>
            </w:tcMar>
            <w:vAlign w:val="center"/>
            <w:hideMark/>
          </w:tcPr>
          <w:p w14:paraId="0B7EFF29"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1,418</w:t>
            </w:r>
          </w:p>
        </w:tc>
      </w:tr>
      <w:tr w:rsidR="00746F90" w:rsidRPr="00AF2F7E" w14:paraId="5F4F0E82" w14:textId="77777777" w:rsidTr="00746F90">
        <w:trPr>
          <w:trHeight w:val="251"/>
        </w:trPr>
        <w:tc>
          <w:tcPr>
            <w:tcW w:w="1771" w:type="dxa"/>
            <w:noWrap/>
            <w:tcMar>
              <w:top w:w="0" w:type="dxa"/>
              <w:left w:w="108" w:type="dxa"/>
              <w:bottom w:w="0" w:type="dxa"/>
              <w:right w:w="108" w:type="dxa"/>
            </w:tcMar>
            <w:hideMark/>
          </w:tcPr>
          <w:p w14:paraId="4897CAB1" w14:textId="77777777" w:rsidR="00AF2F7E" w:rsidRPr="00AF2F7E" w:rsidRDefault="00AF2F7E" w:rsidP="00AF2F7E">
            <w:pPr>
              <w:spacing w:after="0" w:line="240" w:lineRule="auto"/>
              <w:rPr>
                <w:rFonts w:ascii="Times New Roman" w:eastAsia="Times New Roman" w:hAnsi="Times New Roman" w:cs="Times New Roman"/>
                <w:sz w:val="20"/>
                <w:szCs w:val="20"/>
                <w:lang w:val="en-CA" w:eastAsia="en-CA"/>
              </w:rPr>
            </w:pPr>
          </w:p>
        </w:tc>
        <w:tc>
          <w:tcPr>
            <w:tcW w:w="1201" w:type="dxa"/>
            <w:noWrap/>
            <w:tcMar>
              <w:top w:w="0" w:type="dxa"/>
              <w:left w:w="108" w:type="dxa"/>
              <w:bottom w:w="0" w:type="dxa"/>
              <w:right w:w="108" w:type="dxa"/>
            </w:tcMar>
            <w:vAlign w:val="center"/>
            <w:hideMark/>
          </w:tcPr>
          <w:p w14:paraId="0247B3D5"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Dead</w:t>
            </w:r>
          </w:p>
        </w:tc>
        <w:tc>
          <w:tcPr>
            <w:tcW w:w="1201" w:type="dxa"/>
            <w:noWrap/>
            <w:tcMar>
              <w:top w:w="0" w:type="dxa"/>
              <w:left w:w="108" w:type="dxa"/>
              <w:bottom w:w="0" w:type="dxa"/>
              <w:right w:w="108" w:type="dxa"/>
            </w:tcMar>
            <w:vAlign w:val="center"/>
            <w:hideMark/>
          </w:tcPr>
          <w:p w14:paraId="13CAA974"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0</w:t>
            </w:r>
          </w:p>
        </w:tc>
        <w:tc>
          <w:tcPr>
            <w:tcW w:w="647" w:type="dxa"/>
            <w:noWrap/>
            <w:tcMar>
              <w:top w:w="0" w:type="dxa"/>
              <w:left w:w="108" w:type="dxa"/>
              <w:bottom w:w="0" w:type="dxa"/>
              <w:right w:w="108" w:type="dxa"/>
            </w:tcMar>
            <w:vAlign w:val="center"/>
            <w:hideMark/>
          </w:tcPr>
          <w:p w14:paraId="60D38E06"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13</w:t>
            </w:r>
          </w:p>
        </w:tc>
        <w:tc>
          <w:tcPr>
            <w:tcW w:w="1038" w:type="dxa"/>
            <w:noWrap/>
            <w:tcMar>
              <w:top w:w="0" w:type="dxa"/>
              <w:left w:w="108" w:type="dxa"/>
              <w:bottom w:w="0" w:type="dxa"/>
              <w:right w:w="108" w:type="dxa"/>
            </w:tcMar>
            <w:vAlign w:val="center"/>
            <w:hideMark/>
          </w:tcPr>
          <w:p w14:paraId="2EFC6694"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133</w:t>
            </w:r>
          </w:p>
        </w:tc>
        <w:tc>
          <w:tcPr>
            <w:tcW w:w="924" w:type="dxa"/>
            <w:noWrap/>
            <w:tcMar>
              <w:top w:w="0" w:type="dxa"/>
              <w:left w:w="108" w:type="dxa"/>
              <w:bottom w:w="0" w:type="dxa"/>
              <w:right w:w="108" w:type="dxa"/>
            </w:tcMar>
            <w:vAlign w:val="center"/>
            <w:hideMark/>
          </w:tcPr>
          <w:p w14:paraId="23F812E9"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342</w:t>
            </w:r>
          </w:p>
        </w:tc>
        <w:tc>
          <w:tcPr>
            <w:tcW w:w="923" w:type="dxa"/>
            <w:noWrap/>
            <w:tcMar>
              <w:top w:w="0" w:type="dxa"/>
              <w:left w:w="108" w:type="dxa"/>
              <w:bottom w:w="0" w:type="dxa"/>
              <w:right w:w="108" w:type="dxa"/>
            </w:tcMar>
            <w:vAlign w:val="center"/>
            <w:hideMark/>
          </w:tcPr>
          <w:p w14:paraId="7EFA31A2"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489</w:t>
            </w:r>
          </w:p>
        </w:tc>
      </w:tr>
      <w:tr w:rsidR="00746F90" w:rsidRPr="00AF2F7E" w14:paraId="02C5711F" w14:textId="77777777" w:rsidTr="00746F90">
        <w:trPr>
          <w:trHeight w:val="251"/>
        </w:trPr>
        <w:tc>
          <w:tcPr>
            <w:tcW w:w="1771" w:type="dxa"/>
            <w:tcBorders>
              <w:top w:val="nil"/>
              <w:left w:val="nil"/>
              <w:bottom w:val="single" w:sz="8" w:space="0" w:color="auto"/>
              <w:right w:val="nil"/>
            </w:tcBorders>
            <w:noWrap/>
            <w:tcMar>
              <w:top w:w="0" w:type="dxa"/>
              <w:left w:w="108" w:type="dxa"/>
              <w:bottom w:w="0" w:type="dxa"/>
              <w:right w:w="108" w:type="dxa"/>
            </w:tcMar>
            <w:hideMark/>
          </w:tcPr>
          <w:p w14:paraId="76EC7866"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8" w:space="0" w:color="auto"/>
              <w:right w:val="nil"/>
            </w:tcBorders>
            <w:noWrap/>
            <w:tcMar>
              <w:top w:w="0" w:type="dxa"/>
              <w:left w:w="108" w:type="dxa"/>
              <w:bottom w:w="0" w:type="dxa"/>
              <w:right w:w="108" w:type="dxa"/>
            </w:tcMar>
            <w:hideMark/>
          </w:tcPr>
          <w:p w14:paraId="68D3E5D3"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8" w:space="0" w:color="auto"/>
              <w:right w:val="nil"/>
            </w:tcBorders>
            <w:noWrap/>
            <w:tcMar>
              <w:top w:w="0" w:type="dxa"/>
              <w:left w:w="108" w:type="dxa"/>
              <w:bottom w:w="0" w:type="dxa"/>
              <w:right w:w="108" w:type="dxa"/>
            </w:tcMar>
            <w:vAlign w:val="center"/>
            <w:hideMark/>
          </w:tcPr>
          <w:p w14:paraId="2424CAC3" w14:textId="31A2C55D" w:rsidR="00AF2F7E" w:rsidRPr="00AF2F7E" w:rsidRDefault="00AF2F7E" w:rsidP="00746F90">
            <w:pPr>
              <w:spacing w:after="0" w:line="240" w:lineRule="auto"/>
              <w:jc w:val="right"/>
              <w:rPr>
                <w:rFonts w:ascii="Calibri" w:eastAsia="Calibri" w:hAnsi="Calibri" w:cs="Calibri"/>
                <w:color w:val="000000"/>
                <w:lang w:val="en-CA"/>
              </w:rPr>
            </w:pPr>
          </w:p>
        </w:tc>
        <w:tc>
          <w:tcPr>
            <w:tcW w:w="647" w:type="dxa"/>
            <w:tcBorders>
              <w:top w:val="nil"/>
              <w:left w:val="nil"/>
              <w:bottom w:val="single" w:sz="8" w:space="0" w:color="auto"/>
              <w:right w:val="nil"/>
            </w:tcBorders>
            <w:noWrap/>
            <w:tcMar>
              <w:top w:w="0" w:type="dxa"/>
              <w:left w:w="108" w:type="dxa"/>
              <w:bottom w:w="0" w:type="dxa"/>
              <w:right w:w="108" w:type="dxa"/>
            </w:tcMar>
            <w:vAlign w:val="center"/>
            <w:hideMark/>
          </w:tcPr>
          <w:p w14:paraId="32835F07" w14:textId="4C7A571A" w:rsidR="00AF2F7E" w:rsidRPr="00AF2F7E" w:rsidRDefault="00AF2F7E" w:rsidP="00746F90">
            <w:pPr>
              <w:spacing w:after="0" w:line="240" w:lineRule="auto"/>
              <w:jc w:val="right"/>
              <w:rPr>
                <w:rFonts w:ascii="Calibri" w:eastAsia="Calibri" w:hAnsi="Calibri" w:cs="Calibri"/>
                <w:color w:val="000000"/>
                <w:lang w:val="en-CA"/>
              </w:rPr>
            </w:pPr>
          </w:p>
        </w:tc>
        <w:tc>
          <w:tcPr>
            <w:tcW w:w="1038" w:type="dxa"/>
            <w:tcBorders>
              <w:top w:val="nil"/>
              <w:left w:val="nil"/>
              <w:bottom w:val="single" w:sz="8" w:space="0" w:color="auto"/>
              <w:right w:val="nil"/>
            </w:tcBorders>
            <w:noWrap/>
            <w:tcMar>
              <w:top w:w="0" w:type="dxa"/>
              <w:left w:w="108" w:type="dxa"/>
              <w:bottom w:w="0" w:type="dxa"/>
              <w:right w:w="108" w:type="dxa"/>
            </w:tcMar>
            <w:vAlign w:val="center"/>
            <w:hideMark/>
          </w:tcPr>
          <w:p w14:paraId="74E14E41" w14:textId="0C6C6F61" w:rsidR="00AF2F7E" w:rsidRPr="00AF2F7E" w:rsidRDefault="00AF2F7E" w:rsidP="00746F90">
            <w:pPr>
              <w:spacing w:after="0" w:line="240" w:lineRule="auto"/>
              <w:jc w:val="right"/>
              <w:rPr>
                <w:rFonts w:ascii="Calibri" w:eastAsia="Calibri" w:hAnsi="Calibri" w:cs="Calibri"/>
                <w:color w:val="000000"/>
                <w:lang w:val="en-CA"/>
              </w:rPr>
            </w:pPr>
          </w:p>
        </w:tc>
        <w:tc>
          <w:tcPr>
            <w:tcW w:w="924" w:type="dxa"/>
            <w:tcBorders>
              <w:top w:val="nil"/>
              <w:left w:val="nil"/>
              <w:bottom w:val="single" w:sz="8" w:space="0" w:color="auto"/>
              <w:right w:val="nil"/>
            </w:tcBorders>
            <w:noWrap/>
            <w:tcMar>
              <w:top w:w="0" w:type="dxa"/>
              <w:left w:w="108" w:type="dxa"/>
              <w:bottom w:w="0" w:type="dxa"/>
              <w:right w:w="108" w:type="dxa"/>
            </w:tcMar>
            <w:vAlign w:val="center"/>
            <w:hideMark/>
          </w:tcPr>
          <w:p w14:paraId="02841518" w14:textId="36F99FD3" w:rsidR="00AF2F7E" w:rsidRPr="00AF2F7E" w:rsidRDefault="00AF2F7E" w:rsidP="00746F90">
            <w:pPr>
              <w:spacing w:after="0" w:line="240" w:lineRule="auto"/>
              <w:jc w:val="right"/>
              <w:rPr>
                <w:rFonts w:ascii="Calibri" w:eastAsia="Calibri" w:hAnsi="Calibri" w:cs="Calibri"/>
                <w:color w:val="000000"/>
                <w:lang w:val="en-CA"/>
              </w:rPr>
            </w:pPr>
          </w:p>
        </w:tc>
        <w:tc>
          <w:tcPr>
            <w:tcW w:w="923" w:type="dxa"/>
            <w:tcBorders>
              <w:top w:val="nil"/>
              <w:left w:val="nil"/>
              <w:bottom w:val="single" w:sz="8" w:space="0" w:color="auto"/>
              <w:right w:val="nil"/>
            </w:tcBorders>
            <w:noWrap/>
            <w:tcMar>
              <w:top w:w="0" w:type="dxa"/>
              <w:left w:w="108" w:type="dxa"/>
              <w:bottom w:w="0" w:type="dxa"/>
              <w:right w:w="108" w:type="dxa"/>
            </w:tcMar>
            <w:vAlign w:val="center"/>
            <w:hideMark/>
          </w:tcPr>
          <w:p w14:paraId="2029E867"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1,907</w:t>
            </w:r>
          </w:p>
        </w:tc>
      </w:tr>
      <w:tr w:rsidR="00746F90" w:rsidRPr="00AF2F7E" w14:paraId="5F8E5355" w14:textId="77777777" w:rsidTr="00746F90">
        <w:trPr>
          <w:trHeight w:val="241"/>
        </w:trPr>
        <w:tc>
          <w:tcPr>
            <w:tcW w:w="1771" w:type="dxa"/>
            <w:noWrap/>
            <w:tcMar>
              <w:top w:w="0" w:type="dxa"/>
              <w:left w:w="108" w:type="dxa"/>
              <w:bottom w:w="0" w:type="dxa"/>
              <w:right w:w="108" w:type="dxa"/>
            </w:tcMar>
            <w:vAlign w:val="center"/>
            <w:hideMark/>
          </w:tcPr>
          <w:p w14:paraId="6B915121"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Total**</w:t>
            </w:r>
          </w:p>
        </w:tc>
        <w:tc>
          <w:tcPr>
            <w:tcW w:w="1201" w:type="dxa"/>
            <w:noWrap/>
            <w:tcMar>
              <w:top w:w="0" w:type="dxa"/>
              <w:left w:w="108" w:type="dxa"/>
              <w:bottom w:w="0" w:type="dxa"/>
              <w:right w:w="108" w:type="dxa"/>
            </w:tcMar>
            <w:vAlign w:val="center"/>
            <w:hideMark/>
          </w:tcPr>
          <w:p w14:paraId="40E258E6"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Live</w:t>
            </w:r>
          </w:p>
        </w:tc>
        <w:tc>
          <w:tcPr>
            <w:tcW w:w="1201" w:type="dxa"/>
            <w:noWrap/>
            <w:tcMar>
              <w:top w:w="0" w:type="dxa"/>
              <w:left w:w="108" w:type="dxa"/>
              <w:bottom w:w="0" w:type="dxa"/>
              <w:right w:w="108" w:type="dxa"/>
            </w:tcMar>
            <w:vAlign w:val="center"/>
            <w:hideMark/>
          </w:tcPr>
          <w:p w14:paraId="46794E57"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105</w:t>
            </w:r>
          </w:p>
        </w:tc>
        <w:tc>
          <w:tcPr>
            <w:tcW w:w="647" w:type="dxa"/>
            <w:noWrap/>
            <w:tcMar>
              <w:top w:w="0" w:type="dxa"/>
              <w:left w:w="108" w:type="dxa"/>
              <w:bottom w:w="0" w:type="dxa"/>
              <w:right w:w="108" w:type="dxa"/>
            </w:tcMar>
            <w:vAlign w:val="center"/>
            <w:hideMark/>
          </w:tcPr>
          <w:p w14:paraId="36BF30D4"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970</w:t>
            </w:r>
          </w:p>
        </w:tc>
        <w:tc>
          <w:tcPr>
            <w:tcW w:w="1038" w:type="dxa"/>
            <w:noWrap/>
            <w:tcMar>
              <w:top w:w="0" w:type="dxa"/>
              <w:left w:w="108" w:type="dxa"/>
              <w:bottom w:w="0" w:type="dxa"/>
              <w:right w:w="108" w:type="dxa"/>
            </w:tcMar>
            <w:vAlign w:val="center"/>
            <w:hideMark/>
          </w:tcPr>
          <w:p w14:paraId="5FC10AF5"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2,965</w:t>
            </w:r>
          </w:p>
        </w:tc>
        <w:tc>
          <w:tcPr>
            <w:tcW w:w="924" w:type="dxa"/>
            <w:noWrap/>
            <w:tcMar>
              <w:top w:w="0" w:type="dxa"/>
              <w:left w:w="108" w:type="dxa"/>
              <w:bottom w:w="0" w:type="dxa"/>
              <w:right w:w="108" w:type="dxa"/>
            </w:tcMar>
            <w:vAlign w:val="center"/>
            <w:hideMark/>
          </w:tcPr>
          <w:p w14:paraId="0BCE3FF5"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18,276</w:t>
            </w:r>
          </w:p>
        </w:tc>
        <w:tc>
          <w:tcPr>
            <w:tcW w:w="923" w:type="dxa"/>
            <w:noWrap/>
            <w:tcMar>
              <w:top w:w="0" w:type="dxa"/>
              <w:left w:w="108" w:type="dxa"/>
              <w:bottom w:w="0" w:type="dxa"/>
              <w:right w:w="108" w:type="dxa"/>
            </w:tcMar>
            <w:vAlign w:val="center"/>
            <w:hideMark/>
          </w:tcPr>
          <w:p w14:paraId="02786383"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22,316</w:t>
            </w:r>
          </w:p>
        </w:tc>
      </w:tr>
      <w:tr w:rsidR="00746F90" w:rsidRPr="00AF2F7E" w14:paraId="351BB7D5" w14:textId="77777777" w:rsidTr="00746F90">
        <w:trPr>
          <w:trHeight w:val="251"/>
        </w:trPr>
        <w:tc>
          <w:tcPr>
            <w:tcW w:w="1771" w:type="dxa"/>
            <w:noWrap/>
            <w:tcMar>
              <w:top w:w="0" w:type="dxa"/>
              <w:left w:w="108" w:type="dxa"/>
              <w:bottom w:w="0" w:type="dxa"/>
              <w:right w:w="108" w:type="dxa"/>
            </w:tcMar>
            <w:hideMark/>
          </w:tcPr>
          <w:p w14:paraId="721FCD4D" w14:textId="77777777" w:rsidR="00AF2F7E" w:rsidRPr="00AF2F7E" w:rsidRDefault="00AF2F7E" w:rsidP="00AF2F7E">
            <w:pPr>
              <w:spacing w:after="0" w:line="240" w:lineRule="auto"/>
              <w:rPr>
                <w:rFonts w:ascii="Times New Roman" w:eastAsia="Times New Roman" w:hAnsi="Times New Roman" w:cs="Times New Roman"/>
                <w:sz w:val="20"/>
                <w:szCs w:val="20"/>
                <w:lang w:val="en-CA" w:eastAsia="en-CA"/>
              </w:rPr>
            </w:pPr>
          </w:p>
        </w:tc>
        <w:tc>
          <w:tcPr>
            <w:tcW w:w="1201" w:type="dxa"/>
            <w:noWrap/>
            <w:tcMar>
              <w:top w:w="0" w:type="dxa"/>
              <w:left w:w="108" w:type="dxa"/>
              <w:bottom w:w="0" w:type="dxa"/>
              <w:right w:w="108" w:type="dxa"/>
            </w:tcMar>
            <w:vAlign w:val="center"/>
            <w:hideMark/>
          </w:tcPr>
          <w:p w14:paraId="4914099E"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Dead</w:t>
            </w:r>
          </w:p>
        </w:tc>
        <w:tc>
          <w:tcPr>
            <w:tcW w:w="1201" w:type="dxa"/>
            <w:noWrap/>
            <w:tcMar>
              <w:top w:w="0" w:type="dxa"/>
              <w:left w:w="108" w:type="dxa"/>
              <w:bottom w:w="0" w:type="dxa"/>
              <w:right w:w="108" w:type="dxa"/>
            </w:tcMar>
            <w:vAlign w:val="center"/>
            <w:hideMark/>
          </w:tcPr>
          <w:p w14:paraId="20C1DBFA"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21</w:t>
            </w:r>
          </w:p>
        </w:tc>
        <w:tc>
          <w:tcPr>
            <w:tcW w:w="647" w:type="dxa"/>
            <w:noWrap/>
            <w:tcMar>
              <w:top w:w="0" w:type="dxa"/>
              <w:left w:w="108" w:type="dxa"/>
              <w:bottom w:w="0" w:type="dxa"/>
              <w:right w:w="108" w:type="dxa"/>
            </w:tcMar>
            <w:vAlign w:val="center"/>
            <w:hideMark/>
          </w:tcPr>
          <w:p w14:paraId="4820B6AC"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252</w:t>
            </w:r>
          </w:p>
        </w:tc>
        <w:tc>
          <w:tcPr>
            <w:tcW w:w="1038" w:type="dxa"/>
            <w:noWrap/>
            <w:tcMar>
              <w:top w:w="0" w:type="dxa"/>
              <w:left w:w="108" w:type="dxa"/>
              <w:bottom w:w="0" w:type="dxa"/>
              <w:right w:w="108" w:type="dxa"/>
            </w:tcMar>
            <w:vAlign w:val="center"/>
            <w:hideMark/>
          </w:tcPr>
          <w:p w14:paraId="2A0CCECF"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1,711</w:t>
            </w:r>
          </w:p>
        </w:tc>
        <w:tc>
          <w:tcPr>
            <w:tcW w:w="924" w:type="dxa"/>
            <w:noWrap/>
            <w:tcMar>
              <w:top w:w="0" w:type="dxa"/>
              <w:left w:w="108" w:type="dxa"/>
              <w:bottom w:w="0" w:type="dxa"/>
              <w:right w:w="108" w:type="dxa"/>
            </w:tcMar>
            <w:vAlign w:val="center"/>
            <w:hideMark/>
          </w:tcPr>
          <w:p w14:paraId="4866AB5F"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10,329</w:t>
            </w:r>
          </w:p>
        </w:tc>
        <w:tc>
          <w:tcPr>
            <w:tcW w:w="923" w:type="dxa"/>
            <w:noWrap/>
            <w:tcMar>
              <w:top w:w="0" w:type="dxa"/>
              <w:left w:w="108" w:type="dxa"/>
              <w:bottom w:w="0" w:type="dxa"/>
              <w:right w:w="108" w:type="dxa"/>
            </w:tcMar>
            <w:vAlign w:val="center"/>
            <w:hideMark/>
          </w:tcPr>
          <w:p w14:paraId="25C942FD" w14:textId="3F4A11A7" w:rsidR="00AF2F7E" w:rsidRPr="00AF2F7E" w:rsidRDefault="00742B64" w:rsidP="00746F90">
            <w:pPr>
              <w:spacing w:after="0" w:line="240" w:lineRule="auto"/>
              <w:jc w:val="right"/>
              <w:rPr>
                <w:rFonts w:ascii="Calibri" w:eastAsia="Calibri" w:hAnsi="Calibri" w:cs="Calibri"/>
                <w:color w:val="000000"/>
                <w:lang w:val="en-CA"/>
              </w:rPr>
            </w:pPr>
            <w:r>
              <w:rPr>
                <w:rFonts w:ascii="Calibri" w:eastAsia="Calibri" w:hAnsi="Calibri" w:cs="Calibri"/>
                <w:color w:val="000000"/>
                <w:lang w:val="en-CA"/>
              </w:rPr>
              <w:t>12,313</w:t>
            </w:r>
          </w:p>
        </w:tc>
      </w:tr>
      <w:tr w:rsidR="00746F90" w:rsidRPr="00AF2F7E" w14:paraId="6FAC3038" w14:textId="77777777" w:rsidTr="00746F90">
        <w:trPr>
          <w:trHeight w:val="251"/>
        </w:trPr>
        <w:tc>
          <w:tcPr>
            <w:tcW w:w="1771" w:type="dxa"/>
            <w:tcBorders>
              <w:top w:val="nil"/>
              <w:left w:val="nil"/>
              <w:bottom w:val="single" w:sz="12" w:space="0" w:color="auto"/>
              <w:right w:val="nil"/>
            </w:tcBorders>
            <w:noWrap/>
            <w:tcMar>
              <w:top w:w="0" w:type="dxa"/>
              <w:left w:w="108" w:type="dxa"/>
              <w:bottom w:w="0" w:type="dxa"/>
              <w:right w:w="108" w:type="dxa"/>
            </w:tcMar>
            <w:hideMark/>
          </w:tcPr>
          <w:p w14:paraId="03682AA5"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12" w:space="0" w:color="auto"/>
              <w:right w:val="nil"/>
            </w:tcBorders>
            <w:noWrap/>
            <w:tcMar>
              <w:top w:w="0" w:type="dxa"/>
              <w:left w:w="108" w:type="dxa"/>
              <w:bottom w:w="0" w:type="dxa"/>
              <w:right w:w="108" w:type="dxa"/>
            </w:tcMar>
            <w:hideMark/>
          </w:tcPr>
          <w:p w14:paraId="4E389B43" w14:textId="77777777" w:rsidR="00AF2F7E" w:rsidRPr="00AF2F7E" w:rsidRDefault="00AF2F7E" w:rsidP="00AF2F7E">
            <w:pPr>
              <w:spacing w:after="0" w:line="240" w:lineRule="auto"/>
              <w:rPr>
                <w:rFonts w:ascii="Calibri" w:eastAsia="Calibri" w:hAnsi="Calibri" w:cs="Calibri"/>
                <w:color w:val="000000"/>
                <w:lang w:val="en-CA" w:eastAsia="en-CA"/>
              </w:rPr>
            </w:pPr>
            <w:r w:rsidRPr="00AF2F7E">
              <w:rPr>
                <w:rFonts w:ascii="Calibri" w:eastAsia="Calibri" w:hAnsi="Calibri" w:cs="Calibri"/>
                <w:color w:val="000000"/>
                <w:lang w:val="en-CA" w:eastAsia="en-CA"/>
              </w:rPr>
              <w:t> </w:t>
            </w:r>
          </w:p>
        </w:tc>
        <w:tc>
          <w:tcPr>
            <w:tcW w:w="1201" w:type="dxa"/>
            <w:tcBorders>
              <w:top w:val="nil"/>
              <w:left w:val="nil"/>
              <w:bottom w:val="single" w:sz="12" w:space="0" w:color="auto"/>
              <w:right w:val="nil"/>
            </w:tcBorders>
            <w:noWrap/>
            <w:tcMar>
              <w:top w:w="0" w:type="dxa"/>
              <w:left w:w="108" w:type="dxa"/>
              <w:bottom w:w="0" w:type="dxa"/>
              <w:right w:w="108" w:type="dxa"/>
            </w:tcMar>
            <w:vAlign w:val="center"/>
            <w:hideMark/>
          </w:tcPr>
          <w:p w14:paraId="6CA93054" w14:textId="21753559" w:rsidR="00AF2F7E" w:rsidRPr="00AF2F7E" w:rsidRDefault="00AF2F7E" w:rsidP="00746F90">
            <w:pPr>
              <w:spacing w:after="0" w:line="240" w:lineRule="auto"/>
              <w:jc w:val="right"/>
              <w:rPr>
                <w:rFonts w:ascii="Calibri" w:eastAsia="Calibri" w:hAnsi="Calibri" w:cs="Calibri"/>
                <w:color w:val="000000"/>
                <w:lang w:val="en-CA"/>
              </w:rPr>
            </w:pPr>
          </w:p>
        </w:tc>
        <w:tc>
          <w:tcPr>
            <w:tcW w:w="647" w:type="dxa"/>
            <w:tcBorders>
              <w:top w:val="nil"/>
              <w:left w:val="nil"/>
              <w:bottom w:val="single" w:sz="12" w:space="0" w:color="auto"/>
              <w:right w:val="nil"/>
            </w:tcBorders>
            <w:noWrap/>
            <w:tcMar>
              <w:top w:w="0" w:type="dxa"/>
              <w:left w:w="108" w:type="dxa"/>
              <w:bottom w:w="0" w:type="dxa"/>
              <w:right w:w="108" w:type="dxa"/>
            </w:tcMar>
            <w:vAlign w:val="center"/>
            <w:hideMark/>
          </w:tcPr>
          <w:p w14:paraId="31B0024C" w14:textId="288C6D0D" w:rsidR="00AF2F7E" w:rsidRPr="00AF2F7E" w:rsidRDefault="00AF2F7E" w:rsidP="00746F90">
            <w:pPr>
              <w:spacing w:after="0" w:line="240" w:lineRule="auto"/>
              <w:jc w:val="right"/>
              <w:rPr>
                <w:rFonts w:ascii="Calibri" w:eastAsia="Calibri" w:hAnsi="Calibri" w:cs="Calibri"/>
                <w:color w:val="000000"/>
                <w:lang w:val="en-CA"/>
              </w:rPr>
            </w:pPr>
          </w:p>
        </w:tc>
        <w:tc>
          <w:tcPr>
            <w:tcW w:w="1038" w:type="dxa"/>
            <w:tcBorders>
              <w:top w:val="nil"/>
              <w:left w:val="nil"/>
              <w:bottom w:val="single" w:sz="12" w:space="0" w:color="auto"/>
              <w:right w:val="nil"/>
            </w:tcBorders>
            <w:noWrap/>
            <w:tcMar>
              <w:top w:w="0" w:type="dxa"/>
              <w:left w:w="108" w:type="dxa"/>
              <w:bottom w:w="0" w:type="dxa"/>
              <w:right w:w="108" w:type="dxa"/>
            </w:tcMar>
            <w:vAlign w:val="center"/>
            <w:hideMark/>
          </w:tcPr>
          <w:p w14:paraId="4854FA25" w14:textId="2E405DC5" w:rsidR="00AF2F7E" w:rsidRPr="00AF2F7E" w:rsidRDefault="00AF2F7E" w:rsidP="00746F90">
            <w:pPr>
              <w:spacing w:after="0" w:line="240" w:lineRule="auto"/>
              <w:jc w:val="right"/>
              <w:rPr>
                <w:rFonts w:ascii="Calibri" w:eastAsia="Calibri" w:hAnsi="Calibri" w:cs="Calibri"/>
                <w:color w:val="000000"/>
                <w:lang w:val="en-CA"/>
              </w:rPr>
            </w:pPr>
          </w:p>
        </w:tc>
        <w:tc>
          <w:tcPr>
            <w:tcW w:w="924" w:type="dxa"/>
            <w:tcBorders>
              <w:top w:val="nil"/>
              <w:left w:val="nil"/>
              <w:bottom w:val="single" w:sz="12" w:space="0" w:color="auto"/>
              <w:right w:val="nil"/>
            </w:tcBorders>
            <w:noWrap/>
            <w:tcMar>
              <w:top w:w="0" w:type="dxa"/>
              <w:left w:w="108" w:type="dxa"/>
              <w:bottom w:w="0" w:type="dxa"/>
              <w:right w:w="108" w:type="dxa"/>
            </w:tcMar>
            <w:vAlign w:val="center"/>
            <w:hideMark/>
          </w:tcPr>
          <w:p w14:paraId="7F0D43CA" w14:textId="765A246E" w:rsidR="00AF2F7E" w:rsidRPr="00AF2F7E" w:rsidRDefault="00AF2F7E" w:rsidP="00746F90">
            <w:pPr>
              <w:spacing w:after="0" w:line="240" w:lineRule="auto"/>
              <w:jc w:val="right"/>
              <w:rPr>
                <w:rFonts w:ascii="Calibri" w:eastAsia="Calibri" w:hAnsi="Calibri" w:cs="Calibri"/>
                <w:color w:val="000000"/>
                <w:lang w:val="en-CA"/>
              </w:rPr>
            </w:pPr>
          </w:p>
        </w:tc>
        <w:tc>
          <w:tcPr>
            <w:tcW w:w="923" w:type="dxa"/>
            <w:tcBorders>
              <w:top w:val="nil"/>
              <w:left w:val="nil"/>
              <w:bottom w:val="single" w:sz="12" w:space="0" w:color="auto"/>
              <w:right w:val="nil"/>
            </w:tcBorders>
            <w:noWrap/>
            <w:tcMar>
              <w:top w:w="0" w:type="dxa"/>
              <w:left w:w="108" w:type="dxa"/>
              <w:bottom w:w="0" w:type="dxa"/>
              <w:right w:w="108" w:type="dxa"/>
            </w:tcMar>
            <w:vAlign w:val="center"/>
            <w:hideMark/>
          </w:tcPr>
          <w:p w14:paraId="3AEEA13B" w14:textId="77777777" w:rsidR="00AF2F7E" w:rsidRPr="00AF2F7E" w:rsidRDefault="00AF2F7E" w:rsidP="00746F90">
            <w:pPr>
              <w:spacing w:after="0" w:line="240" w:lineRule="auto"/>
              <w:jc w:val="right"/>
              <w:rPr>
                <w:rFonts w:ascii="Calibri" w:eastAsia="Calibri" w:hAnsi="Calibri" w:cs="Calibri"/>
                <w:color w:val="000000"/>
                <w:lang w:val="en-CA"/>
              </w:rPr>
            </w:pPr>
            <w:r w:rsidRPr="00AF2F7E">
              <w:rPr>
                <w:rFonts w:ascii="Calibri" w:eastAsia="Calibri" w:hAnsi="Calibri" w:cs="Calibri"/>
                <w:color w:val="000000"/>
                <w:lang w:val="en-CA"/>
              </w:rPr>
              <w:t>34,629</w:t>
            </w:r>
          </w:p>
        </w:tc>
      </w:tr>
    </w:tbl>
    <w:p w14:paraId="1DEF2327" w14:textId="271517B8" w:rsidR="00AF2F7E" w:rsidRDefault="00AF2F7E" w:rsidP="00AF2F7E">
      <w:pPr>
        <w:spacing w:after="0"/>
        <w:ind w:left="363" w:hanging="448"/>
      </w:pPr>
      <w:r>
        <w:t xml:space="preserve">*       See </w:t>
      </w:r>
      <w:r>
        <w:fldChar w:fldCharType="begin"/>
      </w:r>
      <w:r>
        <w:instrText xml:space="preserve"> REF _Ref497736447 \h </w:instrText>
      </w:r>
      <w:r>
        <w:fldChar w:fldCharType="separate"/>
      </w:r>
      <w:r>
        <w:t xml:space="preserve">Table </w:t>
      </w:r>
      <w:r>
        <w:rPr>
          <w:noProof/>
        </w:rPr>
        <w:t>1</w:t>
      </w:r>
      <w:r>
        <w:fldChar w:fldCharType="end"/>
      </w:r>
      <w:r>
        <w:t xml:space="preserve"> for definitions of burn severity classes. Approximately 0.5 million m</w:t>
      </w:r>
      <w:r>
        <w:rPr>
          <w:vertAlign w:val="superscript"/>
        </w:rPr>
        <w:t>3</w:t>
      </w:r>
      <w:r>
        <w:t xml:space="preserve"> was inside the perimeter of wildfires where burn severity was not estimated. </w:t>
      </w:r>
    </w:p>
    <w:p w14:paraId="2EC4028E" w14:textId="39F7CE55" w:rsidR="00E41584" w:rsidRPr="00AF2F7E" w:rsidRDefault="00AF2F7E" w:rsidP="00AF2F7E">
      <w:pPr>
        <w:ind w:left="360" w:hanging="446"/>
        <w:rPr>
          <w:lang w:val="en-CA"/>
        </w:rPr>
      </w:pPr>
      <w:r>
        <w:t>**     Approximately 3.5 million m</w:t>
      </w:r>
      <w:r>
        <w:rPr>
          <w:vertAlign w:val="superscript"/>
        </w:rPr>
        <w:t>3</w:t>
      </w:r>
      <w:r>
        <w:t xml:space="preserve"> was affected to varying degrees in other TSAs; notably, Prince George, Invermere and Cranbrook.</w:t>
      </w:r>
    </w:p>
    <w:p w14:paraId="0AEC93C3" w14:textId="7C9C6417" w:rsidR="00274B80" w:rsidRDefault="00D031D9" w:rsidP="00D031D9">
      <w:pPr>
        <w:pStyle w:val="Heading2"/>
      </w:pPr>
      <w:bookmarkStart w:id="39" w:name="_Toc503934749"/>
      <w:r>
        <w:t>Effects on special management areas</w:t>
      </w:r>
      <w:bookmarkEnd w:id="39"/>
    </w:p>
    <w:p w14:paraId="15D7C55E" w14:textId="5A54D3B4" w:rsidR="00750130" w:rsidRDefault="00750130" w:rsidP="001C4256">
      <w:pPr>
        <w:jc w:val="both"/>
      </w:pPr>
      <w:r>
        <w:t xml:space="preserve">The </w:t>
      </w:r>
      <w:r w:rsidR="00A11FC5">
        <w:t xml:space="preserve">2017 </w:t>
      </w:r>
      <w:r w:rsidR="00AD2298">
        <w:t>wildfires</w:t>
      </w:r>
      <w:r>
        <w:t xml:space="preserve"> had a significant effect on ‘special management areas’ in the province, notably </w:t>
      </w:r>
      <w:r w:rsidR="005511AD">
        <w:t xml:space="preserve">Wildlife Habitat Areas (WHAs), Ungulate Winter Ranges (UWRs), </w:t>
      </w:r>
      <w:r>
        <w:t xml:space="preserve">Old Growth Management </w:t>
      </w:r>
      <w:r w:rsidR="006139B7">
        <w:t>A</w:t>
      </w:r>
      <w:r>
        <w:t>reas</w:t>
      </w:r>
      <w:r w:rsidR="005511AD">
        <w:t xml:space="preserve"> (OGMAs)</w:t>
      </w:r>
      <w:r>
        <w:t xml:space="preserve"> and </w:t>
      </w:r>
      <w:r w:rsidR="006139B7">
        <w:t>p</w:t>
      </w:r>
      <w:r>
        <w:t xml:space="preserve">arks and </w:t>
      </w:r>
      <w:r w:rsidR="005511AD">
        <w:t>other protected areas (e.g. ecological reserves) (</w:t>
      </w:r>
      <w:r w:rsidR="005511AD">
        <w:fldChar w:fldCharType="begin"/>
      </w:r>
      <w:r w:rsidR="005511AD">
        <w:instrText xml:space="preserve"> REF _Ref497573430 \h </w:instrText>
      </w:r>
      <w:r w:rsidR="001D253F">
        <w:instrText xml:space="preserve"> \* MERGEFORMAT </w:instrText>
      </w:r>
      <w:r w:rsidR="005511AD">
        <w:fldChar w:fldCharType="separate"/>
      </w:r>
      <w:r w:rsidR="00EA1ED1">
        <w:t xml:space="preserve">Figure </w:t>
      </w:r>
      <w:r w:rsidR="00EA1ED1">
        <w:rPr>
          <w:noProof/>
        </w:rPr>
        <w:t>5</w:t>
      </w:r>
      <w:r w:rsidR="005511AD">
        <w:fldChar w:fldCharType="end"/>
      </w:r>
      <w:r w:rsidR="005511AD">
        <w:t>)</w:t>
      </w:r>
      <w:r w:rsidR="00B450D8">
        <w:t>.</w:t>
      </w:r>
      <w:r w:rsidR="00A85A69">
        <w:t xml:space="preserve"> </w:t>
      </w:r>
    </w:p>
    <w:p w14:paraId="5901B55C" w14:textId="31D1B4E3" w:rsidR="00500CFB" w:rsidRDefault="00500CFB" w:rsidP="00500CFB">
      <w:pPr>
        <w:jc w:val="both"/>
      </w:pPr>
      <w:r>
        <w:t xml:space="preserve">The only legally designated OGMAs that were affected by </w:t>
      </w:r>
      <w:r w:rsidR="00AD2298">
        <w:t>wildfires</w:t>
      </w:r>
      <w:r>
        <w:t xml:space="preserve"> were in the Cariboo region</w:t>
      </w:r>
      <w:r w:rsidR="000F3294">
        <w:t xml:space="preserve">, </w:t>
      </w:r>
      <w:r>
        <w:t>where about 15% of the OGMAs were affected (</w:t>
      </w:r>
      <w:r w:rsidRPr="006D3522">
        <w:t>118,</w:t>
      </w:r>
      <w:r>
        <w:t xml:space="preserve">000 of </w:t>
      </w:r>
      <w:r w:rsidRPr="006D3522">
        <w:t>79</w:t>
      </w:r>
      <w:r>
        <w:t>1,000 hectares).</w:t>
      </w:r>
      <w:r w:rsidR="00BD55B3">
        <w:t xml:space="preserve"> </w:t>
      </w:r>
      <w:r w:rsidR="00576736">
        <w:t>Throughout the rest of the southern interior</w:t>
      </w:r>
      <w:r w:rsidR="006139B7">
        <w:t>,</w:t>
      </w:r>
      <w:r w:rsidR="00576736">
        <w:rPr>
          <w:rStyle w:val="FootnoteReference"/>
        </w:rPr>
        <w:footnoteReference w:id="27"/>
      </w:r>
      <w:r w:rsidR="00576736">
        <w:t xml:space="preserve"> about 2% (22,000 of 1,087,000</w:t>
      </w:r>
      <w:r w:rsidR="00BD55B3">
        <w:t xml:space="preserve"> hectares</w:t>
      </w:r>
      <w:r w:rsidR="00576736">
        <w:t>)</w:t>
      </w:r>
      <w:r w:rsidR="00BD55B3" w:rsidRPr="00BD55B3">
        <w:t xml:space="preserve"> of </w:t>
      </w:r>
      <w:r w:rsidR="00BD55B3">
        <w:t>‘non-legal</w:t>
      </w:r>
      <w:r w:rsidR="006139B7">
        <w:t>’</w:t>
      </w:r>
      <w:r w:rsidR="00BD55B3">
        <w:t xml:space="preserve"> OGMAs</w:t>
      </w:r>
      <w:r w:rsidR="00576736">
        <w:rPr>
          <w:rStyle w:val="FootnoteReference"/>
        </w:rPr>
        <w:footnoteReference w:id="28"/>
      </w:r>
      <w:r w:rsidR="00576736">
        <w:t xml:space="preserve"> </w:t>
      </w:r>
      <w:r w:rsidR="00BD55B3" w:rsidRPr="00BD55B3">
        <w:t>also burned.</w:t>
      </w:r>
    </w:p>
    <w:p w14:paraId="31975DF8" w14:textId="034A7BE2" w:rsidR="00500CFB" w:rsidRDefault="000F3294" w:rsidP="00500CFB">
      <w:pPr>
        <w:jc w:val="both"/>
      </w:pPr>
      <w:r>
        <w:t>Provincially,</w:t>
      </w:r>
      <w:r w:rsidR="00500CFB">
        <w:t xml:space="preserve"> about 3% of the </w:t>
      </w:r>
      <w:r w:rsidR="004F6408">
        <w:t xml:space="preserve">area in </w:t>
      </w:r>
      <w:r w:rsidR="00500CFB">
        <w:t xml:space="preserve">UWR </w:t>
      </w:r>
      <w:r>
        <w:t xml:space="preserve">was </w:t>
      </w:r>
      <w:r w:rsidR="00500CFB">
        <w:t>affected</w:t>
      </w:r>
      <w:r>
        <w:t>;</w:t>
      </w:r>
      <w:r w:rsidR="00500CFB">
        <w:t xml:space="preserve"> but 6% of the </w:t>
      </w:r>
      <w:r w:rsidR="004F6408">
        <w:t xml:space="preserve">area in </w:t>
      </w:r>
      <w:r w:rsidR="00500CFB">
        <w:t>UWR specifically designated for bighorn sheep and 8% of the mule deer UWR</w:t>
      </w:r>
      <w:r>
        <w:t>s</w:t>
      </w:r>
      <w:r w:rsidR="00500CFB">
        <w:t xml:space="preserve"> were affected.</w:t>
      </w:r>
      <w:r w:rsidR="00576736">
        <w:t xml:space="preserve"> In the Cariboo region, the most severely affected area, just over 10% of the UWRs were affected.</w:t>
      </w:r>
    </w:p>
    <w:p w14:paraId="16FCBAE1" w14:textId="20B731D1" w:rsidR="00500CFB" w:rsidRDefault="000F3294" w:rsidP="00500CFB">
      <w:pPr>
        <w:jc w:val="both"/>
      </w:pPr>
      <w:r>
        <w:t>Provincially,</w:t>
      </w:r>
      <w:r w:rsidR="00500CFB">
        <w:t xml:space="preserve"> about 1% of the </w:t>
      </w:r>
      <w:r w:rsidR="004F6408">
        <w:t xml:space="preserve">area in </w:t>
      </w:r>
      <w:r w:rsidR="00500CFB">
        <w:t xml:space="preserve">WHAs </w:t>
      </w:r>
      <w:r>
        <w:t xml:space="preserve">was </w:t>
      </w:r>
      <w:r w:rsidR="00500CFB">
        <w:t>affected</w:t>
      </w:r>
      <w:r>
        <w:t>,</w:t>
      </w:r>
      <w:r w:rsidR="00500CFB">
        <w:t xml:space="preserve"> but 22% of the </w:t>
      </w:r>
      <w:r w:rsidR="004F6408">
        <w:t xml:space="preserve">area in </w:t>
      </w:r>
      <w:r w:rsidR="00500CFB">
        <w:t xml:space="preserve">American White Pelican WHAs </w:t>
      </w:r>
      <w:r w:rsidR="00046D5A">
        <w:t xml:space="preserve">was </w:t>
      </w:r>
      <w:r w:rsidR="00500CFB">
        <w:t xml:space="preserve">affected; </w:t>
      </w:r>
      <w:r>
        <w:t>the latter</w:t>
      </w:r>
      <w:r w:rsidR="00500CFB">
        <w:t xml:space="preserve"> located around lakes in the Cariboo region.</w:t>
      </w:r>
    </w:p>
    <w:p w14:paraId="46A537E0" w14:textId="0219B239" w:rsidR="00500CFB" w:rsidRDefault="00500CFB" w:rsidP="00500CFB">
      <w:pPr>
        <w:jc w:val="both"/>
      </w:pPr>
      <w:r>
        <w:lastRenderedPageBreak/>
        <w:t xml:space="preserve">Less than 0.5% of the </w:t>
      </w:r>
      <w:r w:rsidR="004F6408">
        <w:t xml:space="preserve">area in </w:t>
      </w:r>
      <w:r>
        <w:t xml:space="preserve">parks and protected areas in the province </w:t>
      </w:r>
      <w:r w:rsidR="000F3294">
        <w:t xml:space="preserve">was </w:t>
      </w:r>
      <w:r>
        <w:t>affected by wildfires</w:t>
      </w:r>
      <w:r w:rsidR="00E64C90">
        <w:t>,</w:t>
      </w:r>
      <w:r>
        <w:t xml:space="preserve"> but some individual parks were severely affected (</w:t>
      </w:r>
      <w:r>
        <w:fldChar w:fldCharType="begin"/>
      </w:r>
      <w:r>
        <w:instrText xml:space="preserve"> REF _Ref497572895 \h  \* MERGEFORMAT </w:instrText>
      </w:r>
      <w:r>
        <w:fldChar w:fldCharType="separate"/>
      </w:r>
      <w:r w:rsidR="00EA1ED1">
        <w:t xml:space="preserve">Table </w:t>
      </w:r>
      <w:r w:rsidR="00EA1ED1">
        <w:rPr>
          <w:noProof/>
        </w:rPr>
        <w:t>3</w:t>
      </w:r>
      <w:r>
        <w:fldChar w:fldCharType="end"/>
      </w:r>
      <w:r>
        <w:t>).</w:t>
      </w:r>
    </w:p>
    <w:p w14:paraId="08957F4C" w14:textId="7AC89026" w:rsidR="005511AD" w:rsidRDefault="00B44377" w:rsidP="00750130">
      <w:r>
        <w:pict w14:anchorId="434A7396">
          <v:shape id="_x0000_i1026" type="#_x0000_t75" style="width:413.2pt;height:318.75pt">
            <v:imagedata r:id="rId21" o:title="fireFRPA"/>
          </v:shape>
        </w:pict>
      </w:r>
    </w:p>
    <w:p w14:paraId="01073E71" w14:textId="77934FD4" w:rsidR="005511AD" w:rsidRDefault="005511AD" w:rsidP="005511AD">
      <w:pPr>
        <w:pStyle w:val="Caption"/>
      </w:pPr>
      <w:bookmarkStart w:id="40" w:name="_Ref497573430"/>
      <w:bookmarkStart w:id="41" w:name="_Toc501382124"/>
      <w:r>
        <w:t xml:space="preserve">Figure </w:t>
      </w:r>
      <w:fldSimple w:instr=" SEQ Figure \* ARABIC ">
        <w:r w:rsidR="00EA1ED1">
          <w:rPr>
            <w:noProof/>
          </w:rPr>
          <w:t>5</w:t>
        </w:r>
      </w:fldSimple>
      <w:bookmarkEnd w:id="40"/>
      <w:r>
        <w:t xml:space="preserve">. Extent of </w:t>
      </w:r>
      <w:r w:rsidR="00AD2298">
        <w:t>wildfires</w:t>
      </w:r>
      <w:r>
        <w:t xml:space="preserve"> in special management areas in the most severely affected portion of the province.</w:t>
      </w:r>
      <w:bookmarkEnd w:id="41"/>
    </w:p>
    <w:p w14:paraId="7DF520FC" w14:textId="77777777" w:rsidR="00DF6253" w:rsidRPr="000C33A2" w:rsidRDefault="00DF6253" w:rsidP="0087334D"/>
    <w:p w14:paraId="14DEDCC4" w14:textId="3BD99955" w:rsidR="003E54CF" w:rsidRDefault="003E54CF" w:rsidP="003E54CF">
      <w:pPr>
        <w:pStyle w:val="Caption"/>
      </w:pPr>
      <w:bookmarkStart w:id="42" w:name="_Ref497572895"/>
      <w:bookmarkStart w:id="43" w:name="_Toc502565290"/>
      <w:r>
        <w:t xml:space="preserve">Table </w:t>
      </w:r>
      <w:fldSimple w:instr=" SEQ Table \* ARABIC ">
        <w:r w:rsidR="00EA1ED1">
          <w:rPr>
            <w:noProof/>
          </w:rPr>
          <w:t>3</w:t>
        </w:r>
      </w:fldSimple>
      <w:bookmarkEnd w:id="42"/>
      <w:r>
        <w:t xml:space="preserve">. Proportion of area </w:t>
      </w:r>
      <w:r w:rsidR="000F3294">
        <w:t xml:space="preserve">impacted </w:t>
      </w:r>
      <w:r>
        <w:t>in severely affected protected areas</w:t>
      </w:r>
      <w:r w:rsidR="00154FF9">
        <w:t xml:space="preserve"> (</w:t>
      </w:r>
      <w:r w:rsidR="000F3294">
        <w:t xml:space="preserve">i.e., </w:t>
      </w:r>
      <w:r w:rsidR="00154FF9">
        <w:t>greater than 30% affected)</w:t>
      </w:r>
      <w:bookmarkEnd w:id="43"/>
    </w:p>
    <w:tbl>
      <w:tblPr>
        <w:tblStyle w:val="PlainTable31"/>
        <w:tblW w:w="0" w:type="auto"/>
        <w:tblLook w:val="04A0" w:firstRow="1" w:lastRow="0" w:firstColumn="1" w:lastColumn="0" w:noHBand="0" w:noVBand="1"/>
      </w:tblPr>
      <w:tblGrid>
        <w:gridCol w:w="5820"/>
        <w:gridCol w:w="960"/>
        <w:gridCol w:w="1220"/>
        <w:gridCol w:w="960"/>
      </w:tblGrid>
      <w:tr w:rsidR="003E54CF" w:rsidRPr="003E54CF" w14:paraId="2D0DAB7C" w14:textId="77777777" w:rsidTr="00750130">
        <w:trPr>
          <w:cnfStyle w:val="100000000000" w:firstRow="1" w:lastRow="0" w:firstColumn="0" w:lastColumn="0" w:oddVBand="0" w:evenVBand="0" w:oddHBand="0" w:evenHBand="0" w:firstRowFirstColumn="0" w:firstRowLastColumn="0" w:lastRowFirstColumn="0" w:lastRowLastColumn="0"/>
          <w:trHeight w:val="300"/>
        </w:trPr>
        <w:tc>
          <w:tcPr>
            <w:cnfStyle w:val="001000000100" w:firstRow="0" w:lastRow="0" w:firstColumn="1" w:lastColumn="0" w:oddVBand="0" w:evenVBand="0" w:oddHBand="0" w:evenHBand="0" w:firstRowFirstColumn="1" w:firstRowLastColumn="0" w:lastRowFirstColumn="0" w:lastRowLastColumn="0"/>
            <w:tcW w:w="5820" w:type="dxa"/>
            <w:tcBorders>
              <w:top w:val="single" w:sz="12" w:space="0" w:color="auto"/>
            </w:tcBorders>
            <w:noWrap/>
          </w:tcPr>
          <w:p w14:paraId="77E1C06F" w14:textId="2F473C11" w:rsidR="003E54CF" w:rsidRPr="00750130" w:rsidRDefault="00750130">
            <w:pPr>
              <w:rPr>
                <w:b w:val="0"/>
              </w:rPr>
            </w:pPr>
            <w:r w:rsidRPr="00750130">
              <w:rPr>
                <w:b w:val="0"/>
                <w:caps w:val="0"/>
              </w:rPr>
              <w:t>Protected area name</w:t>
            </w:r>
          </w:p>
        </w:tc>
        <w:tc>
          <w:tcPr>
            <w:tcW w:w="960" w:type="dxa"/>
            <w:tcBorders>
              <w:top w:val="single" w:sz="12" w:space="0" w:color="auto"/>
            </w:tcBorders>
            <w:noWrap/>
          </w:tcPr>
          <w:p w14:paraId="2AA067C6" w14:textId="3165A7C0" w:rsidR="003E54CF" w:rsidRPr="00750130" w:rsidRDefault="00750130" w:rsidP="00750130">
            <w:pPr>
              <w:jc w:val="right"/>
              <w:cnfStyle w:val="100000000000" w:firstRow="1" w:lastRow="0" w:firstColumn="0" w:lastColumn="0" w:oddVBand="0" w:evenVBand="0" w:oddHBand="0" w:evenHBand="0" w:firstRowFirstColumn="0" w:firstRowLastColumn="0" w:lastRowFirstColumn="0" w:lastRowLastColumn="0"/>
              <w:rPr>
                <w:b w:val="0"/>
              </w:rPr>
            </w:pPr>
            <w:r w:rsidRPr="00750130">
              <w:rPr>
                <w:b w:val="0"/>
                <w:caps w:val="0"/>
              </w:rPr>
              <w:t xml:space="preserve">Area affected </w:t>
            </w:r>
          </w:p>
        </w:tc>
        <w:tc>
          <w:tcPr>
            <w:tcW w:w="1220" w:type="dxa"/>
            <w:tcBorders>
              <w:top w:val="single" w:sz="12" w:space="0" w:color="auto"/>
            </w:tcBorders>
            <w:noWrap/>
          </w:tcPr>
          <w:p w14:paraId="66B9E946" w14:textId="11D8387C" w:rsidR="003E54CF" w:rsidRPr="00750130" w:rsidRDefault="00750130" w:rsidP="00750130">
            <w:pPr>
              <w:jc w:val="right"/>
              <w:cnfStyle w:val="100000000000" w:firstRow="1" w:lastRow="0" w:firstColumn="0" w:lastColumn="0" w:oddVBand="0" w:evenVBand="0" w:oddHBand="0" w:evenHBand="0" w:firstRowFirstColumn="0" w:firstRowLastColumn="0" w:lastRowFirstColumn="0" w:lastRowLastColumn="0"/>
              <w:rPr>
                <w:b w:val="0"/>
              </w:rPr>
            </w:pPr>
            <w:r w:rsidRPr="00750130">
              <w:rPr>
                <w:b w:val="0"/>
                <w:caps w:val="0"/>
              </w:rPr>
              <w:t>Total area</w:t>
            </w:r>
          </w:p>
        </w:tc>
        <w:tc>
          <w:tcPr>
            <w:tcW w:w="960" w:type="dxa"/>
            <w:tcBorders>
              <w:top w:val="single" w:sz="12" w:space="0" w:color="auto"/>
            </w:tcBorders>
            <w:noWrap/>
          </w:tcPr>
          <w:p w14:paraId="0537142D" w14:textId="056F902F" w:rsidR="003E54CF" w:rsidRPr="00750130" w:rsidRDefault="00750130" w:rsidP="00750130">
            <w:pPr>
              <w:jc w:val="right"/>
              <w:cnfStyle w:val="100000000000" w:firstRow="1" w:lastRow="0" w:firstColumn="0" w:lastColumn="0" w:oddVBand="0" w:evenVBand="0" w:oddHBand="0" w:evenHBand="0" w:firstRowFirstColumn="0" w:firstRowLastColumn="0" w:lastRowFirstColumn="0" w:lastRowLastColumn="0"/>
              <w:rPr>
                <w:b w:val="0"/>
              </w:rPr>
            </w:pPr>
            <w:r w:rsidRPr="00750130">
              <w:rPr>
                <w:b w:val="0"/>
                <w:caps w:val="0"/>
              </w:rPr>
              <w:t>Percent affected</w:t>
            </w:r>
          </w:p>
        </w:tc>
      </w:tr>
      <w:tr w:rsidR="003E54CF" w:rsidRPr="003E54CF" w14:paraId="462055CD" w14:textId="77777777" w:rsidTr="003E54C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20" w:type="dxa"/>
            <w:noWrap/>
            <w:hideMark/>
          </w:tcPr>
          <w:p w14:paraId="6B501621" w14:textId="6BD05BA0" w:rsidR="003E54CF" w:rsidRPr="003E54CF" w:rsidRDefault="003E54CF">
            <w:pPr>
              <w:rPr>
                <w:b w:val="0"/>
              </w:rPr>
            </w:pPr>
            <w:r w:rsidRPr="003E54CF">
              <w:rPr>
                <w:b w:val="0"/>
                <w:caps w:val="0"/>
              </w:rPr>
              <w:t>Narcosli Lake Ecological Reserve</w:t>
            </w:r>
          </w:p>
        </w:tc>
        <w:tc>
          <w:tcPr>
            <w:tcW w:w="960" w:type="dxa"/>
            <w:noWrap/>
            <w:hideMark/>
          </w:tcPr>
          <w:p w14:paraId="7A6DED0A" w14:textId="036457ED"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rsidRPr="003E54CF">
              <w:t xml:space="preserve">1,090 </w:t>
            </w:r>
          </w:p>
        </w:tc>
        <w:tc>
          <w:tcPr>
            <w:tcW w:w="1220" w:type="dxa"/>
            <w:noWrap/>
            <w:hideMark/>
          </w:tcPr>
          <w:p w14:paraId="662B9EFA" w14:textId="42A8B29E"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t>1,090</w:t>
            </w:r>
          </w:p>
        </w:tc>
        <w:tc>
          <w:tcPr>
            <w:tcW w:w="960" w:type="dxa"/>
            <w:noWrap/>
            <w:hideMark/>
          </w:tcPr>
          <w:p w14:paraId="327ED0E3" w14:textId="77777777"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rsidRPr="003E54CF">
              <w:t>100%</w:t>
            </w:r>
          </w:p>
        </w:tc>
      </w:tr>
      <w:tr w:rsidR="003E54CF" w:rsidRPr="003E54CF" w14:paraId="66C7E4CF" w14:textId="77777777" w:rsidTr="003E54CF">
        <w:trPr>
          <w:trHeight w:val="300"/>
        </w:trPr>
        <w:tc>
          <w:tcPr>
            <w:cnfStyle w:val="001000000000" w:firstRow="0" w:lastRow="0" w:firstColumn="1" w:lastColumn="0" w:oddVBand="0" w:evenVBand="0" w:oddHBand="0" w:evenHBand="0" w:firstRowFirstColumn="0" w:firstRowLastColumn="0" w:lastRowFirstColumn="0" w:lastRowLastColumn="0"/>
            <w:tcW w:w="5820" w:type="dxa"/>
            <w:noWrap/>
            <w:hideMark/>
          </w:tcPr>
          <w:p w14:paraId="6188824C" w14:textId="52CE0459" w:rsidR="003E54CF" w:rsidRPr="003E54CF" w:rsidRDefault="003E54CF">
            <w:pPr>
              <w:rPr>
                <w:b w:val="0"/>
              </w:rPr>
            </w:pPr>
            <w:r w:rsidRPr="003E54CF">
              <w:rPr>
                <w:b w:val="0"/>
                <w:caps w:val="0"/>
              </w:rPr>
              <w:t>Loon Lake Park</w:t>
            </w:r>
          </w:p>
        </w:tc>
        <w:tc>
          <w:tcPr>
            <w:tcW w:w="960" w:type="dxa"/>
            <w:noWrap/>
            <w:hideMark/>
          </w:tcPr>
          <w:p w14:paraId="4CFB7BDE" w14:textId="48787E3C"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t>3</w:t>
            </w:r>
          </w:p>
        </w:tc>
        <w:tc>
          <w:tcPr>
            <w:tcW w:w="1220" w:type="dxa"/>
            <w:noWrap/>
            <w:hideMark/>
          </w:tcPr>
          <w:p w14:paraId="66CBE0D1" w14:textId="12E6C6F9"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t>3</w:t>
            </w:r>
          </w:p>
        </w:tc>
        <w:tc>
          <w:tcPr>
            <w:tcW w:w="960" w:type="dxa"/>
            <w:noWrap/>
            <w:hideMark/>
          </w:tcPr>
          <w:p w14:paraId="367CA4B8" w14:textId="77777777"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rsidRPr="003E54CF">
              <w:t>99%</w:t>
            </w:r>
          </w:p>
        </w:tc>
      </w:tr>
      <w:tr w:rsidR="003E54CF" w:rsidRPr="003E54CF" w14:paraId="165DE1D3" w14:textId="77777777" w:rsidTr="003E54C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20" w:type="dxa"/>
            <w:noWrap/>
            <w:hideMark/>
          </w:tcPr>
          <w:p w14:paraId="1DA1BB5C" w14:textId="70159606" w:rsidR="003E54CF" w:rsidRPr="003E54CF" w:rsidRDefault="003E54CF">
            <w:pPr>
              <w:rPr>
                <w:b w:val="0"/>
              </w:rPr>
            </w:pPr>
            <w:r w:rsidRPr="003E54CF">
              <w:rPr>
                <w:b w:val="0"/>
                <w:caps w:val="0"/>
              </w:rPr>
              <w:t>Arrowstone Park</w:t>
            </w:r>
          </w:p>
        </w:tc>
        <w:tc>
          <w:tcPr>
            <w:tcW w:w="960" w:type="dxa"/>
            <w:noWrap/>
            <w:hideMark/>
          </w:tcPr>
          <w:p w14:paraId="609D69F3" w14:textId="518F8C40"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rsidRPr="003E54CF">
              <w:t xml:space="preserve">5,561 </w:t>
            </w:r>
          </w:p>
        </w:tc>
        <w:tc>
          <w:tcPr>
            <w:tcW w:w="1220" w:type="dxa"/>
            <w:noWrap/>
            <w:hideMark/>
          </w:tcPr>
          <w:p w14:paraId="11F66B98" w14:textId="5C9FD34D"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t>6,156</w:t>
            </w:r>
          </w:p>
        </w:tc>
        <w:tc>
          <w:tcPr>
            <w:tcW w:w="960" w:type="dxa"/>
            <w:noWrap/>
            <w:hideMark/>
          </w:tcPr>
          <w:p w14:paraId="358A514E" w14:textId="77777777"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rsidRPr="003E54CF">
              <w:t>90%</w:t>
            </w:r>
          </w:p>
        </w:tc>
      </w:tr>
      <w:tr w:rsidR="003E54CF" w:rsidRPr="003E54CF" w14:paraId="679C5954" w14:textId="77777777" w:rsidTr="003E54CF">
        <w:trPr>
          <w:trHeight w:val="300"/>
        </w:trPr>
        <w:tc>
          <w:tcPr>
            <w:cnfStyle w:val="001000000000" w:firstRow="0" w:lastRow="0" w:firstColumn="1" w:lastColumn="0" w:oddVBand="0" w:evenVBand="0" w:oddHBand="0" w:evenHBand="0" w:firstRowFirstColumn="0" w:firstRowLastColumn="0" w:lastRowFirstColumn="0" w:lastRowLastColumn="0"/>
            <w:tcW w:w="5820" w:type="dxa"/>
            <w:noWrap/>
            <w:hideMark/>
          </w:tcPr>
          <w:p w14:paraId="2AAD0FE1" w14:textId="57FA4C6C" w:rsidR="003E54CF" w:rsidRPr="003E54CF" w:rsidRDefault="003E54CF">
            <w:pPr>
              <w:rPr>
                <w:b w:val="0"/>
              </w:rPr>
            </w:pPr>
            <w:r w:rsidRPr="003E54CF">
              <w:rPr>
                <w:b w:val="0"/>
                <w:caps w:val="0"/>
              </w:rPr>
              <w:t>Nazko Lake Park</w:t>
            </w:r>
          </w:p>
        </w:tc>
        <w:tc>
          <w:tcPr>
            <w:tcW w:w="960" w:type="dxa"/>
            <w:noWrap/>
            <w:hideMark/>
          </w:tcPr>
          <w:p w14:paraId="4C46F55E" w14:textId="0B0465E5"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rsidRPr="003E54CF">
              <w:t xml:space="preserve">9,410 </w:t>
            </w:r>
          </w:p>
        </w:tc>
        <w:tc>
          <w:tcPr>
            <w:tcW w:w="1220" w:type="dxa"/>
            <w:noWrap/>
            <w:hideMark/>
          </w:tcPr>
          <w:p w14:paraId="593FEDB0" w14:textId="3A44F979"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t>12,063</w:t>
            </w:r>
          </w:p>
        </w:tc>
        <w:tc>
          <w:tcPr>
            <w:tcW w:w="960" w:type="dxa"/>
            <w:noWrap/>
            <w:hideMark/>
          </w:tcPr>
          <w:p w14:paraId="048E7147" w14:textId="77777777"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rsidRPr="003E54CF">
              <w:t>78%</w:t>
            </w:r>
          </w:p>
        </w:tc>
      </w:tr>
      <w:tr w:rsidR="003E54CF" w:rsidRPr="003E54CF" w14:paraId="72A1B66E" w14:textId="77777777" w:rsidTr="003E54CF">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20" w:type="dxa"/>
            <w:noWrap/>
            <w:hideMark/>
          </w:tcPr>
          <w:p w14:paraId="741BCF9E" w14:textId="56D2AD38" w:rsidR="003E54CF" w:rsidRPr="003E54CF" w:rsidRDefault="003E54CF">
            <w:pPr>
              <w:rPr>
                <w:b w:val="0"/>
              </w:rPr>
            </w:pPr>
            <w:r w:rsidRPr="003E54CF">
              <w:rPr>
                <w:b w:val="0"/>
                <w:caps w:val="0"/>
              </w:rPr>
              <w:t>Big Creek Ecological Reserve</w:t>
            </w:r>
          </w:p>
        </w:tc>
        <w:tc>
          <w:tcPr>
            <w:tcW w:w="960" w:type="dxa"/>
            <w:noWrap/>
            <w:hideMark/>
          </w:tcPr>
          <w:p w14:paraId="69F8D403" w14:textId="3552F8BE"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t>113</w:t>
            </w:r>
          </w:p>
        </w:tc>
        <w:tc>
          <w:tcPr>
            <w:tcW w:w="1220" w:type="dxa"/>
            <w:noWrap/>
            <w:hideMark/>
          </w:tcPr>
          <w:p w14:paraId="09EA5B6C" w14:textId="7F832C9C"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t>262</w:t>
            </w:r>
          </w:p>
        </w:tc>
        <w:tc>
          <w:tcPr>
            <w:tcW w:w="960" w:type="dxa"/>
            <w:noWrap/>
            <w:hideMark/>
          </w:tcPr>
          <w:p w14:paraId="7EC1FA06" w14:textId="77777777"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rsidRPr="003E54CF">
              <w:t>43%</w:t>
            </w:r>
          </w:p>
        </w:tc>
      </w:tr>
      <w:tr w:rsidR="003E54CF" w:rsidRPr="003E54CF" w14:paraId="24A1FBBD" w14:textId="77777777" w:rsidTr="00750130">
        <w:trPr>
          <w:trHeight w:val="300"/>
        </w:trPr>
        <w:tc>
          <w:tcPr>
            <w:cnfStyle w:val="001000000000" w:firstRow="0" w:lastRow="0" w:firstColumn="1" w:lastColumn="0" w:oddVBand="0" w:evenVBand="0" w:oddHBand="0" w:evenHBand="0" w:firstRowFirstColumn="0" w:firstRowLastColumn="0" w:lastRowFirstColumn="0" w:lastRowLastColumn="0"/>
            <w:tcW w:w="5820" w:type="dxa"/>
            <w:noWrap/>
            <w:hideMark/>
          </w:tcPr>
          <w:p w14:paraId="40E09CB6" w14:textId="6181137A" w:rsidR="003E54CF" w:rsidRPr="003E54CF" w:rsidRDefault="003E54CF">
            <w:pPr>
              <w:rPr>
                <w:b w:val="0"/>
              </w:rPr>
            </w:pPr>
            <w:r w:rsidRPr="003E54CF">
              <w:rPr>
                <w:b w:val="0"/>
                <w:caps w:val="0"/>
              </w:rPr>
              <w:t>Akamina-Kishinena Park</w:t>
            </w:r>
          </w:p>
        </w:tc>
        <w:tc>
          <w:tcPr>
            <w:tcW w:w="960" w:type="dxa"/>
            <w:noWrap/>
            <w:hideMark/>
          </w:tcPr>
          <w:p w14:paraId="03E8CA9D" w14:textId="4B1D682A"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rsidRPr="003E54CF">
              <w:t xml:space="preserve">3,505 </w:t>
            </w:r>
          </w:p>
        </w:tc>
        <w:tc>
          <w:tcPr>
            <w:tcW w:w="1220" w:type="dxa"/>
            <w:noWrap/>
            <w:hideMark/>
          </w:tcPr>
          <w:p w14:paraId="14B18A02" w14:textId="24E5BFA9"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t>10,635</w:t>
            </w:r>
          </w:p>
        </w:tc>
        <w:tc>
          <w:tcPr>
            <w:tcW w:w="960" w:type="dxa"/>
            <w:noWrap/>
            <w:hideMark/>
          </w:tcPr>
          <w:p w14:paraId="7A081F34" w14:textId="77777777" w:rsidR="003E54CF" w:rsidRPr="003E54CF" w:rsidRDefault="003E54CF" w:rsidP="003E54CF">
            <w:pPr>
              <w:jc w:val="right"/>
              <w:cnfStyle w:val="000000000000" w:firstRow="0" w:lastRow="0" w:firstColumn="0" w:lastColumn="0" w:oddVBand="0" w:evenVBand="0" w:oddHBand="0" w:evenHBand="0" w:firstRowFirstColumn="0" w:firstRowLastColumn="0" w:lastRowFirstColumn="0" w:lastRowLastColumn="0"/>
            </w:pPr>
            <w:r w:rsidRPr="003E54CF">
              <w:t>33%</w:t>
            </w:r>
          </w:p>
        </w:tc>
      </w:tr>
      <w:tr w:rsidR="003E54CF" w:rsidRPr="003E54CF" w14:paraId="15FD1BAB" w14:textId="77777777" w:rsidTr="00E1777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20" w:type="dxa"/>
            <w:noWrap/>
            <w:hideMark/>
          </w:tcPr>
          <w:p w14:paraId="75434039" w14:textId="1D5C9E15" w:rsidR="003E54CF" w:rsidRPr="003E54CF" w:rsidRDefault="003E54CF">
            <w:pPr>
              <w:rPr>
                <w:b w:val="0"/>
              </w:rPr>
            </w:pPr>
            <w:r w:rsidRPr="003E54CF">
              <w:rPr>
                <w:b w:val="0"/>
                <w:caps w:val="0"/>
              </w:rPr>
              <w:t>Chasm Park</w:t>
            </w:r>
          </w:p>
        </w:tc>
        <w:tc>
          <w:tcPr>
            <w:tcW w:w="960" w:type="dxa"/>
            <w:noWrap/>
            <w:hideMark/>
          </w:tcPr>
          <w:p w14:paraId="3003BE3F" w14:textId="4231F69D"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rsidRPr="003E54CF">
              <w:t xml:space="preserve">1,025 </w:t>
            </w:r>
          </w:p>
        </w:tc>
        <w:tc>
          <w:tcPr>
            <w:tcW w:w="1220" w:type="dxa"/>
            <w:noWrap/>
            <w:hideMark/>
          </w:tcPr>
          <w:p w14:paraId="1AA65453" w14:textId="34680043"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t>3,152</w:t>
            </w:r>
          </w:p>
        </w:tc>
        <w:tc>
          <w:tcPr>
            <w:tcW w:w="960" w:type="dxa"/>
            <w:noWrap/>
            <w:hideMark/>
          </w:tcPr>
          <w:p w14:paraId="79FDBB08" w14:textId="77777777" w:rsidR="003E54CF" w:rsidRPr="003E54CF" w:rsidRDefault="003E54CF" w:rsidP="003E54CF">
            <w:pPr>
              <w:jc w:val="right"/>
              <w:cnfStyle w:val="000000100000" w:firstRow="0" w:lastRow="0" w:firstColumn="0" w:lastColumn="0" w:oddVBand="0" w:evenVBand="0" w:oddHBand="1" w:evenHBand="0" w:firstRowFirstColumn="0" w:firstRowLastColumn="0" w:lastRowFirstColumn="0" w:lastRowLastColumn="0"/>
            </w:pPr>
            <w:r w:rsidRPr="003E54CF">
              <w:t>33%</w:t>
            </w:r>
          </w:p>
        </w:tc>
      </w:tr>
      <w:tr w:rsidR="00E17779" w:rsidRPr="003E54CF" w14:paraId="6FE72FA7" w14:textId="77777777" w:rsidTr="00E17779">
        <w:trPr>
          <w:trHeight w:val="300"/>
        </w:trPr>
        <w:tc>
          <w:tcPr>
            <w:cnfStyle w:val="001000000000" w:firstRow="0" w:lastRow="0" w:firstColumn="1" w:lastColumn="0" w:oddVBand="0" w:evenVBand="0" w:oddHBand="0" w:evenHBand="0" w:firstRowFirstColumn="0" w:firstRowLastColumn="0" w:lastRowFirstColumn="0" w:lastRowLastColumn="0"/>
            <w:tcW w:w="5820" w:type="dxa"/>
            <w:noWrap/>
          </w:tcPr>
          <w:p w14:paraId="4C5D1973" w14:textId="4E812602" w:rsidR="00E17779" w:rsidRPr="00154FF9" w:rsidRDefault="00154FF9" w:rsidP="00E17779">
            <w:pPr>
              <w:rPr>
                <w:b w:val="0"/>
                <w:caps w:val="0"/>
              </w:rPr>
            </w:pPr>
            <w:r>
              <w:rPr>
                <w:b w:val="0"/>
                <w:caps w:val="0"/>
              </w:rPr>
              <w:t>Darke Lake P</w:t>
            </w:r>
            <w:r w:rsidRPr="00154FF9">
              <w:rPr>
                <w:b w:val="0"/>
                <w:caps w:val="0"/>
              </w:rPr>
              <w:t>ark</w:t>
            </w:r>
          </w:p>
        </w:tc>
        <w:tc>
          <w:tcPr>
            <w:tcW w:w="960" w:type="dxa"/>
            <w:noWrap/>
          </w:tcPr>
          <w:p w14:paraId="2AA62453" w14:textId="498D66B2" w:rsidR="00E17779" w:rsidRPr="003E54CF" w:rsidRDefault="00E17779" w:rsidP="00E17779">
            <w:pPr>
              <w:jc w:val="right"/>
              <w:cnfStyle w:val="000000000000" w:firstRow="0" w:lastRow="0" w:firstColumn="0" w:lastColumn="0" w:oddVBand="0" w:evenVBand="0" w:oddHBand="0" w:evenHBand="0" w:firstRowFirstColumn="0" w:firstRowLastColumn="0" w:lastRowFirstColumn="0" w:lastRowLastColumn="0"/>
            </w:pPr>
            <w:r w:rsidRPr="00690EB7">
              <w:t xml:space="preserve"> 483 </w:t>
            </w:r>
          </w:p>
        </w:tc>
        <w:tc>
          <w:tcPr>
            <w:tcW w:w="1220" w:type="dxa"/>
            <w:noWrap/>
          </w:tcPr>
          <w:p w14:paraId="42CC4BEF" w14:textId="50A991A8" w:rsidR="00E17779" w:rsidRDefault="00E17779" w:rsidP="00E17779">
            <w:pPr>
              <w:jc w:val="right"/>
              <w:cnfStyle w:val="000000000000" w:firstRow="0" w:lastRow="0" w:firstColumn="0" w:lastColumn="0" w:oddVBand="0" w:evenVBand="0" w:oddHBand="0" w:evenHBand="0" w:firstRowFirstColumn="0" w:firstRowLastColumn="0" w:lastRowFirstColumn="0" w:lastRowLastColumn="0"/>
            </w:pPr>
            <w:r w:rsidRPr="00690EB7">
              <w:t xml:space="preserve"> 1,504 </w:t>
            </w:r>
          </w:p>
        </w:tc>
        <w:tc>
          <w:tcPr>
            <w:tcW w:w="960" w:type="dxa"/>
            <w:noWrap/>
          </w:tcPr>
          <w:p w14:paraId="3289EA1D" w14:textId="1445AF74" w:rsidR="00E17779" w:rsidRPr="003E54CF" w:rsidRDefault="00E17779" w:rsidP="00E17779">
            <w:pPr>
              <w:jc w:val="right"/>
              <w:cnfStyle w:val="000000000000" w:firstRow="0" w:lastRow="0" w:firstColumn="0" w:lastColumn="0" w:oddVBand="0" w:evenVBand="0" w:oddHBand="0" w:evenHBand="0" w:firstRowFirstColumn="0" w:firstRowLastColumn="0" w:lastRowFirstColumn="0" w:lastRowLastColumn="0"/>
            </w:pPr>
            <w:r w:rsidRPr="00690EB7">
              <w:t>32%</w:t>
            </w:r>
          </w:p>
        </w:tc>
      </w:tr>
      <w:tr w:rsidR="00E17779" w:rsidRPr="003E54CF" w14:paraId="508152D2" w14:textId="77777777" w:rsidTr="00750130">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820" w:type="dxa"/>
            <w:tcBorders>
              <w:bottom w:val="single" w:sz="12" w:space="0" w:color="auto"/>
            </w:tcBorders>
            <w:noWrap/>
          </w:tcPr>
          <w:p w14:paraId="6C3FCAFA" w14:textId="2450E399" w:rsidR="00E17779" w:rsidRPr="00154FF9" w:rsidRDefault="00154FF9" w:rsidP="00E17779">
            <w:pPr>
              <w:rPr>
                <w:b w:val="0"/>
                <w:caps w:val="0"/>
              </w:rPr>
            </w:pPr>
            <w:r>
              <w:rPr>
                <w:b w:val="0"/>
                <w:caps w:val="0"/>
              </w:rPr>
              <w:t>Elephant Hill P</w:t>
            </w:r>
            <w:r w:rsidRPr="00154FF9">
              <w:rPr>
                <w:b w:val="0"/>
                <w:caps w:val="0"/>
              </w:rPr>
              <w:t>ark</w:t>
            </w:r>
          </w:p>
        </w:tc>
        <w:tc>
          <w:tcPr>
            <w:tcW w:w="960" w:type="dxa"/>
            <w:tcBorders>
              <w:bottom w:val="single" w:sz="12" w:space="0" w:color="auto"/>
            </w:tcBorders>
            <w:noWrap/>
          </w:tcPr>
          <w:p w14:paraId="665ACA40" w14:textId="5A81026A" w:rsidR="00E17779" w:rsidRPr="003E54CF" w:rsidRDefault="00E17779" w:rsidP="00E17779">
            <w:pPr>
              <w:jc w:val="right"/>
              <w:cnfStyle w:val="000000100000" w:firstRow="0" w:lastRow="0" w:firstColumn="0" w:lastColumn="0" w:oddVBand="0" w:evenVBand="0" w:oddHBand="1" w:evenHBand="0" w:firstRowFirstColumn="0" w:firstRowLastColumn="0" w:lastRowFirstColumn="0" w:lastRowLastColumn="0"/>
            </w:pPr>
            <w:r w:rsidRPr="00690EB7">
              <w:t xml:space="preserve"> 295 </w:t>
            </w:r>
          </w:p>
        </w:tc>
        <w:tc>
          <w:tcPr>
            <w:tcW w:w="1220" w:type="dxa"/>
            <w:tcBorders>
              <w:bottom w:val="single" w:sz="12" w:space="0" w:color="auto"/>
            </w:tcBorders>
            <w:noWrap/>
          </w:tcPr>
          <w:p w14:paraId="440DEA77" w14:textId="22467AFF" w:rsidR="00E17779" w:rsidRDefault="00E17779" w:rsidP="00E17779">
            <w:pPr>
              <w:jc w:val="right"/>
              <w:cnfStyle w:val="000000100000" w:firstRow="0" w:lastRow="0" w:firstColumn="0" w:lastColumn="0" w:oddVBand="0" w:evenVBand="0" w:oddHBand="1" w:evenHBand="0" w:firstRowFirstColumn="0" w:firstRowLastColumn="0" w:lastRowFirstColumn="0" w:lastRowLastColumn="0"/>
            </w:pPr>
            <w:r w:rsidRPr="00690EB7">
              <w:t xml:space="preserve"> 973 </w:t>
            </w:r>
          </w:p>
        </w:tc>
        <w:tc>
          <w:tcPr>
            <w:tcW w:w="960" w:type="dxa"/>
            <w:tcBorders>
              <w:bottom w:val="single" w:sz="12" w:space="0" w:color="auto"/>
            </w:tcBorders>
            <w:noWrap/>
          </w:tcPr>
          <w:p w14:paraId="64E8C2AD" w14:textId="04E93DFD" w:rsidR="00E17779" w:rsidRPr="003E54CF" w:rsidRDefault="00E17779" w:rsidP="00E17779">
            <w:pPr>
              <w:jc w:val="right"/>
              <w:cnfStyle w:val="000000100000" w:firstRow="0" w:lastRow="0" w:firstColumn="0" w:lastColumn="0" w:oddVBand="0" w:evenVBand="0" w:oddHBand="1" w:evenHBand="0" w:firstRowFirstColumn="0" w:firstRowLastColumn="0" w:lastRowFirstColumn="0" w:lastRowLastColumn="0"/>
            </w:pPr>
            <w:r w:rsidRPr="00690EB7">
              <w:t>30%</w:t>
            </w:r>
          </w:p>
        </w:tc>
      </w:tr>
    </w:tbl>
    <w:p w14:paraId="38C5A780" w14:textId="77777777" w:rsidR="006353E2" w:rsidRDefault="006353E2" w:rsidP="006D3522"/>
    <w:p w14:paraId="3DE5B5DC" w14:textId="331C1AAE" w:rsidR="00D031D9" w:rsidRPr="006D3522" w:rsidRDefault="00D031D9" w:rsidP="00D031D9">
      <w:pPr>
        <w:pStyle w:val="Heading2"/>
      </w:pPr>
      <w:bookmarkStart w:id="44" w:name="_Toc503934750"/>
      <w:r>
        <w:lastRenderedPageBreak/>
        <w:t>Forest health considerations</w:t>
      </w:r>
      <w:bookmarkEnd w:id="44"/>
    </w:p>
    <w:p w14:paraId="465A97D4" w14:textId="6ED4411D" w:rsidR="00787C48" w:rsidRDefault="000F3294" w:rsidP="00787C48">
      <w:pPr>
        <w:jc w:val="both"/>
      </w:pPr>
      <w:r>
        <w:t>Approximately 40% of the area affected by t</w:t>
      </w:r>
      <w:r w:rsidR="00787C48">
        <w:t xml:space="preserve">he 2017 </w:t>
      </w:r>
      <w:r>
        <w:t>wild</w:t>
      </w:r>
      <w:r w:rsidR="00787C48">
        <w:t xml:space="preserve">fires burned in areas that </w:t>
      </w:r>
      <w:r>
        <w:t xml:space="preserve">were </w:t>
      </w:r>
      <w:r w:rsidR="00787C48">
        <w:t xml:space="preserve">already affected by the </w:t>
      </w:r>
      <w:r w:rsidR="00FA1693">
        <w:t>ongoing</w:t>
      </w:r>
      <w:r w:rsidR="00787C48">
        <w:t xml:space="preserve"> MPB outbreak (</w:t>
      </w:r>
      <w:r>
        <w:t xml:space="preserve">which began in </w:t>
      </w:r>
      <w:r w:rsidR="00787C48">
        <w:t xml:space="preserve">1999). While that infestation </w:t>
      </w:r>
      <w:r w:rsidR="00046D5A">
        <w:t xml:space="preserve">had </w:t>
      </w:r>
      <w:r w:rsidR="00787C48">
        <w:t>largely subsided;</w:t>
      </w:r>
      <w:r w:rsidR="00787C48">
        <w:fldChar w:fldCharType="begin"/>
      </w:r>
      <w:r w:rsidR="00787C48">
        <w:instrText xml:space="preserve"> ADDIN ZOTERO_ITEM CSL_CITATION {"citationID":"yplEpKBh","properties":{"formattedCitation":"{\\rtf \\super 16\\nosupersub{}}","plainCitation":"16"},"citationItems":[{"id":837,"uris":["http://zotero.org/users/2487980/items/FCUWPFVD"],"uri":["http://zotero.org/users/2487980/items/FCUWPFVD"],"itemData":{"id":837,"type":"webpage","title":"Provincial-Level Projection of the Current Mountain Pine Beetle Outbreak","container-title":"Mountain Pine Beetle Infestation Projection","genre":"Ministry of Forests and Natural Resource Operations","URL":"https://www.for.gov.bc.ca/hre/bcmpb/","author":[{"family":"Walton","given":"Adrian"}],"issued":{"date-parts":[["2016"]]},"accessed":{"date-parts":[["2017",10,27]]}}}],"schema":"https://github.com/citation-style-language/schema/raw/master/csl-citation.json"} </w:instrText>
      </w:r>
      <w:r w:rsidR="00787C48">
        <w:fldChar w:fldCharType="separate"/>
      </w:r>
      <w:r w:rsidR="00787C48" w:rsidRPr="00787C48">
        <w:rPr>
          <w:rFonts w:ascii="Calibri" w:hAnsi="Calibri" w:cs="Calibri"/>
          <w:szCs w:val="24"/>
          <w:vertAlign w:val="superscript"/>
        </w:rPr>
        <w:t>16</w:t>
      </w:r>
      <w:r w:rsidR="00787C48">
        <w:fldChar w:fldCharType="end"/>
      </w:r>
      <w:r w:rsidR="00787C48">
        <w:t xml:space="preserve"> mountain pine beetle populations are again increasing</w:t>
      </w:r>
      <w:r w:rsidR="00FA1693">
        <w:t>,</w:t>
      </w:r>
      <w:r w:rsidR="00787C48">
        <w:t xml:space="preserve"> with affected area up by forty percent over 2015 (to 55,000 hectares) in the southern interior.</w:t>
      </w:r>
      <w:r w:rsidR="00787C48">
        <w:fldChar w:fldCharType="begin"/>
      </w:r>
      <w:r w:rsidR="00787C48">
        <w:instrText xml:space="preserve"> ADDIN ZOTERO_ITEM CSL_CITATION {"citationID":"2IKctq7y","properties":{"formattedCitation":"{\\rtf \\super 17\\nosupersub{}}","plainCitation":"17"},"citationItems":[{"id":836,"uris":["http://zotero.org/users/2487980/items/5PKLJTX3"],"uri":["http://zotero.org/users/2487980/items/5PKLJTX3"],"itemData":{"id":836,"type":"report","title":"2016 Overview of Forest Health Conditions in Southern B.C.","publisher":"Ministry of Forests, Lands and Natural Resource Operations, Kamloops, B.C","URL":"https://www2.gov.bc.ca/assets/gov/environment/research-monitoring-and-reporting/monitoring/aerial-overview-survey-documents/2016_sifr_fh_overview.pdf","author":[{"family":"Maclauchlan","given":"Lorraine"},{"family":"Buxton","given":"Kevin"}],"issued":{"date-parts":[["2016"]]},"accessed":{"date-parts":[["2017",10,27]]}}}],"schema":"https://github.com/citation-style-language/schema/raw/master/csl-citation.json"} </w:instrText>
      </w:r>
      <w:r w:rsidR="00787C48">
        <w:fldChar w:fldCharType="separate"/>
      </w:r>
      <w:r w:rsidR="00787C48" w:rsidRPr="00787C48">
        <w:rPr>
          <w:rFonts w:ascii="Calibri" w:hAnsi="Calibri" w:cs="Calibri"/>
          <w:szCs w:val="24"/>
          <w:vertAlign w:val="superscript"/>
        </w:rPr>
        <w:t>17</w:t>
      </w:r>
      <w:r w:rsidR="00787C48">
        <w:fldChar w:fldCharType="end"/>
      </w:r>
    </w:p>
    <w:p w14:paraId="1C7F8818" w14:textId="3A9E2DCC" w:rsidR="00787C48" w:rsidRDefault="00787C48" w:rsidP="00787C48">
      <w:pPr>
        <w:jc w:val="both"/>
      </w:pPr>
      <w:r w:rsidRPr="00B71988">
        <w:t>Spru</w:t>
      </w:r>
      <w:r>
        <w:t xml:space="preserve">ce Beetle </w:t>
      </w:r>
      <w:r w:rsidRPr="00787C48">
        <w:t>(</w:t>
      </w:r>
      <w:r w:rsidRPr="00787C48">
        <w:rPr>
          <w:i/>
        </w:rPr>
        <w:t>Dendroctonus rufipennis</w:t>
      </w:r>
      <w:r w:rsidRPr="00787C48">
        <w:t>)</w:t>
      </w:r>
      <w:r>
        <w:t xml:space="preserve"> and Western Balsam Bark Beetle (</w:t>
      </w:r>
      <w:r w:rsidRPr="00B71988">
        <w:rPr>
          <w:i/>
        </w:rPr>
        <w:t>Dryocoetes confus</w:t>
      </w:r>
      <w:r>
        <w:rPr>
          <w:i/>
        </w:rPr>
        <w:t>u</w:t>
      </w:r>
      <w:r w:rsidRPr="00B71988">
        <w:rPr>
          <w:i/>
        </w:rPr>
        <w:t>s</w:t>
      </w:r>
      <w:r>
        <w:t>) infestations are on the rise in BC</w:t>
      </w:r>
      <w:r w:rsidR="000F3294">
        <w:t>.</w:t>
      </w:r>
      <w:r>
        <w:t xml:space="preserve"> </w:t>
      </w:r>
      <w:r w:rsidR="000F3294">
        <w:t>H</w:t>
      </w:r>
      <w:r>
        <w:t xml:space="preserve">owever, </w:t>
      </w:r>
      <w:r w:rsidR="00AA71E8">
        <w:t>most notable</w:t>
      </w:r>
      <w:r>
        <w:t xml:space="preserve"> in the context of the 2017 wildfires</w:t>
      </w:r>
      <w:r w:rsidR="00FA1693">
        <w:t>,</w:t>
      </w:r>
      <w:r>
        <w:t xml:space="preserve"> is the significant year-over-year increase in DFB attack throughout the southern interior</w:t>
      </w:r>
      <w:r w:rsidR="00FA1693">
        <w:t>,</w:t>
      </w:r>
      <w:r>
        <w:t xml:space="preserve"> with up to </w:t>
      </w:r>
      <w:r w:rsidR="00E64C90">
        <w:t xml:space="preserve">an </w:t>
      </w:r>
      <w:r>
        <w:t xml:space="preserve">eightfold </w:t>
      </w:r>
      <w:r w:rsidR="0082067C">
        <w:t>increase</w:t>
      </w:r>
      <w:r>
        <w:t xml:space="preserve"> in some areas between 2015 and 2016.</w:t>
      </w:r>
      <w:r w:rsidRPr="00A279C8">
        <w:t xml:space="preserve"> </w:t>
      </w:r>
      <w:r>
        <w:t>Eighty</w:t>
      </w:r>
      <w:r w:rsidR="00E64C90">
        <w:t>-</w:t>
      </w:r>
      <w:r>
        <w:t>five percent of the area</w:t>
      </w:r>
      <w:r w:rsidR="00AA71E8">
        <w:t xml:space="preserve"> affected by the DFB</w:t>
      </w:r>
      <w:r>
        <w:t xml:space="preserve"> </w:t>
      </w:r>
      <w:r w:rsidR="00AA71E8">
        <w:t xml:space="preserve">is </w:t>
      </w:r>
      <w:r>
        <w:t>in the Williams Lake and 100 Mile House TSAs</w:t>
      </w:r>
      <w:r w:rsidR="00AA71E8">
        <w:t>, although only 194 hectares of this DFB area is within the wildfire perimeters</w:t>
      </w:r>
      <w:r>
        <w:t>.</w:t>
      </w:r>
      <w:r>
        <w:fldChar w:fldCharType="begin"/>
      </w:r>
      <w:r>
        <w:instrText xml:space="preserve"> ADDIN ZOTERO_ITEM CSL_CITATION {"citationID":"zJfcIMiv","properties":{"formattedCitation":"{\\rtf \\super 17\\nosupersub{}}","plainCitation":"17"},"citationItems":[{"id":836,"uris":["http://zotero.org/users/2487980/items/5PKLJTX3"],"uri":["http://zotero.org/users/2487980/items/5PKLJTX3"],"itemData":{"id":836,"type":"report","title":"2016 Overview of Forest Health Conditions in Southern B.C.","publisher":"Ministry of Forests, Lands and Natural Resource Operations, Kamloops, B.C","URL":"https://www2.gov.bc.ca/assets/gov/environment/research-monitoring-and-reporting/monitoring/aerial-overview-survey-documents/2016_sifr_fh_overview.pdf","author":[{"family":"Maclauchlan","given":"Lorraine"},{"family":"Buxton","given":"Kevin"}],"issued":{"date-parts":[["2016"]]},"accessed":{"date-parts":[["2017",10,27]]}}}],"schema":"https://github.com/citation-style-language/schema/raw/master/csl-citation.json"} </w:instrText>
      </w:r>
      <w:r>
        <w:fldChar w:fldCharType="separate"/>
      </w:r>
      <w:r w:rsidRPr="00787C48">
        <w:rPr>
          <w:rFonts w:ascii="Calibri" w:hAnsi="Calibri" w:cs="Calibri"/>
          <w:szCs w:val="24"/>
          <w:vertAlign w:val="superscript"/>
        </w:rPr>
        <w:t>17</w:t>
      </w:r>
      <w:r>
        <w:fldChar w:fldCharType="end"/>
      </w:r>
      <w:r>
        <w:t xml:space="preserve"> </w:t>
      </w:r>
    </w:p>
    <w:p w14:paraId="6394BFA8" w14:textId="0E5C99A8" w:rsidR="00787C48" w:rsidRDefault="00787C48" w:rsidP="00787C48">
      <w:pPr>
        <w:jc w:val="both"/>
      </w:pPr>
      <w:r>
        <w:t>Fire</w:t>
      </w:r>
      <w:r w:rsidR="00E64C90">
        <w:t>-</w:t>
      </w:r>
      <w:r>
        <w:t xml:space="preserve">damaged forest can </w:t>
      </w:r>
      <w:r w:rsidR="00046D5A">
        <w:t>increase the growth and severity</w:t>
      </w:r>
      <w:r>
        <w:t xml:space="preserve"> of DFB infestations and it is likely that the current DFB infestation will increase in size, partly as a result of the 2017 wildfires. Landscape</w:t>
      </w:r>
      <w:r w:rsidR="00E64C90">
        <w:t>-</w:t>
      </w:r>
      <w:r>
        <w:t>level suppression of DFB is not practical,</w:t>
      </w:r>
      <w:r w:rsidRPr="006543B1">
        <w:fldChar w:fldCharType="begin"/>
      </w:r>
      <w:r>
        <w:instrText xml:space="preserve"> ADDIN ZOTERO_ITEM CSL_CITATION {"citationID":"a7v3ngb471","properties":{"formattedCitation":"{\\rtf \\super 18\\nosupersub{}}","plainCitation":"18"},"citationItems":[{"id":626,"uris":["http://zotero.org/users/2487980/items/W2RRX88B"],"uri":["http://zotero.org/users/2487980/items/W2RRX88B"],"itemData":{"id":626,"type":"article-journal","title":"Do Bark Beetle Outbreaks Increase Wildfire Risks in the Central U.S. Rocky Mountains? Implications from Recent Research","container-title":"Natural Areas Journal","page":"59-65","volume":"33","issue":"1","source":"bioone.org (Atypon)","abstract":":   Appropriate response to recent, widespread bark beetle (Dendroctonus spp.) outbreaks in the western United States has been the subject of much debate in scientific and policy circles. Among the proposed responses have been landscape-level mechanical treatments to prevent the further spread of outbreaks and to reduce the fire risk that is believed to be associated with insect-killed trees. We review the literature on the efficacy of silvicutural practices to control outbreaks and on fire risk following bark beetle outbreaks in several forest types. While research is ongoing and important questions remain unresolved, to date most available evidence indicates that bark beetle outbreaks do not substantially increase the risk of active crown fire in lodgepole pine (Pinus contorta) and spruce (Picea engelmannii)-fir (Abies spp.) forests under most conditions. Instead, active crown fires in these forest types are primarily contingent on dry conditions rather than variations in stand structure, such as those brought about by outbreaks. Preemptive thinning may reduce susceptibility to small outbreaks but is unlikely to reduce susceptibility to large, landscape-scale epidemics. Once beetle populations reach widespread epidemic levels, silvicultural strategies aimed at stopping them are not likely to reduce forest susceptibility to outbreaks. Furthermore, such silvicultural treatments could have substantial, unintended short— and long-term ecological costs associated with road access and an overall degradation of natural areas.","DOI":"10.3375/043.033.0107","ISSN":"0885-8608","shortTitle":"Do Bark Beetle Outbreaks Increase Wildfire Risks in the Central U.S. Rocky Mountains?","journalAbbreviation":"Natural Areas Journal","author":[{"family":"Black","given":"Scott H."},{"family":"Kulakowski","given":"Dominik"},{"family":"Noon","given":"Barry R."},{"family":"DellaSala","given":"Dominick A."}],"issued":{"date-parts":[["2013",1,1]]}}}],"schema":"https://github.com/citation-style-language/schema/raw/master/csl-citation.json"} </w:instrText>
      </w:r>
      <w:r w:rsidRPr="006543B1">
        <w:fldChar w:fldCharType="separate"/>
      </w:r>
      <w:r w:rsidRPr="00787C48">
        <w:rPr>
          <w:rFonts w:ascii="Calibri" w:hAnsi="Calibri" w:cs="Calibri"/>
          <w:szCs w:val="24"/>
          <w:vertAlign w:val="superscript"/>
        </w:rPr>
        <w:t>18</w:t>
      </w:r>
      <w:r w:rsidRPr="006543B1">
        <w:fldChar w:fldCharType="end"/>
      </w:r>
      <w:r>
        <w:t xml:space="preserve"> compared to the efficacy of single</w:t>
      </w:r>
      <w:r w:rsidR="00E64C90">
        <w:t>-</w:t>
      </w:r>
      <w:r>
        <w:t xml:space="preserve">tree treatments for MPB suppression across landscapes at low infestation levels. DFB treatments to suppress infestations across landscapes </w:t>
      </w:r>
      <w:r w:rsidR="00AA71E8">
        <w:t>are ineffective</w:t>
      </w:r>
      <w:r w:rsidR="0082067C">
        <w:t>;</w:t>
      </w:r>
      <w:r>
        <w:t xml:space="preserve"> in part</w:t>
      </w:r>
      <w:r w:rsidR="00AA71E8">
        <w:t>,</w:t>
      </w:r>
      <w:r>
        <w:t xml:space="preserve"> related to challenges identifying </w:t>
      </w:r>
      <w:r w:rsidR="00AA71E8">
        <w:t>green attacked Douglas-fir</w:t>
      </w:r>
      <w:r>
        <w:t>, and in part</w:t>
      </w:r>
      <w:r w:rsidR="0082067C">
        <w:t>,</w:t>
      </w:r>
      <w:r>
        <w:t xml:space="preserve"> </w:t>
      </w:r>
      <w:r w:rsidR="0082067C">
        <w:t xml:space="preserve">related </w:t>
      </w:r>
      <w:r>
        <w:t>to the operational difficulty of undertaking single</w:t>
      </w:r>
      <w:r w:rsidR="00E64C90">
        <w:t>-</w:t>
      </w:r>
      <w:r>
        <w:t>tree treatments (fall and burn) on large, mature Douglas-fir</w:t>
      </w:r>
      <w:r w:rsidR="0082067C">
        <w:t xml:space="preserve"> trees</w:t>
      </w:r>
      <w:r>
        <w:t xml:space="preserve">. Objectives for DFB management are therefore </w:t>
      </w:r>
      <w:r w:rsidR="00046D5A">
        <w:t>focused on reducing</w:t>
      </w:r>
      <w:r>
        <w:t xml:space="preserve"> the spread of the beetle </w:t>
      </w:r>
      <w:r w:rsidR="00046D5A">
        <w:t xml:space="preserve">to </w:t>
      </w:r>
      <w:r>
        <w:t xml:space="preserve">reduce future timber losses. </w:t>
      </w:r>
    </w:p>
    <w:p w14:paraId="5C89800C" w14:textId="3DAECCF0" w:rsidR="00787C48" w:rsidRDefault="00787C48" w:rsidP="00787C48">
      <w:pPr>
        <w:jc w:val="both"/>
      </w:pPr>
      <w:r>
        <w:t>The success of implementing these objectives will depend on careful consideration of other values that may be impacted by DFB management. In particular, aggressive management strategies for DFB assume that there is a commitment by all stakeholders to support multiple, consecutive years of DFB control activities that include both short-</w:t>
      </w:r>
      <w:r w:rsidR="00E64C90">
        <w:t>term</w:t>
      </w:r>
      <w:r>
        <w:t xml:space="preserve"> and long-term strategies. It is understood that </w:t>
      </w:r>
      <w:r w:rsidR="00E64C90">
        <w:t>Mule Deer Winter Range (</w:t>
      </w:r>
      <w:r>
        <w:t>MDWR</w:t>
      </w:r>
      <w:r w:rsidR="00E64C90">
        <w:t>)</w:t>
      </w:r>
      <w:r>
        <w:t xml:space="preserve">, OGMA, watershed or aesthetic considerations can limit the application of aggressive management tactics and/or directed </w:t>
      </w:r>
      <w:r w:rsidR="00851265">
        <w:t>logging</w:t>
      </w:r>
      <w:r>
        <w:t xml:space="preserve">. </w:t>
      </w:r>
    </w:p>
    <w:p w14:paraId="717AC084" w14:textId="77777777" w:rsidR="00773DDC" w:rsidRDefault="00773DDC">
      <w:pPr>
        <w:rPr>
          <w:rFonts w:asciiTheme="majorHAnsi" w:eastAsiaTheme="majorEastAsia" w:hAnsiTheme="majorHAnsi" w:cstheme="majorBidi"/>
          <w:color w:val="2E74B5" w:themeColor="accent1" w:themeShade="BF"/>
          <w:sz w:val="32"/>
          <w:szCs w:val="32"/>
        </w:rPr>
      </w:pPr>
      <w:r>
        <w:br w:type="page"/>
      </w:r>
    </w:p>
    <w:p w14:paraId="38C6BB30" w14:textId="75F8D87E" w:rsidR="00137BDB" w:rsidRDefault="005F1932" w:rsidP="000B0781">
      <w:pPr>
        <w:pStyle w:val="Heading1"/>
      </w:pPr>
      <w:bookmarkStart w:id="45" w:name="_Toc494874429"/>
      <w:bookmarkStart w:id="46" w:name="_Toc503934751"/>
      <w:r>
        <w:lastRenderedPageBreak/>
        <w:t>4</w:t>
      </w:r>
      <w:r>
        <w:tab/>
      </w:r>
      <w:r w:rsidR="00137BDB">
        <w:t>Effects of post-</w:t>
      </w:r>
      <w:r w:rsidR="009C1BAF">
        <w:t>wildfire</w:t>
      </w:r>
      <w:r w:rsidR="00137BDB">
        <w:t xml:space="preserve"> salvage </w:t>
      </w:r>
      <w:r w:rsidR="009F1237">
        <w:t xml:space="preserve">logging </w:t>
      </w:r>
      <w:r w:rsidR="00137BDB">
        <w:t>on ecosystems and societal values</w:t>
      </w:r>
      <w:bookmarkEnd w:id="45"/>
      <w:bookmarkEnd w:id="46"/>
    </w:p>
    <w:p w14:paraId="3B07FDE0" w14:textId="5B21786D" w:rsidR="00137BDB" w:rsidRPr="00356E6A" w:rsidRDefault="00137BDB" w:rsidP="00137BDB">
      <w:pPr>
        <w:jc w:val="both"/>
      </w:pPr>
      <w:r w:rsidRPr="009208E5">
        <w:t>Post-</w:t>
      </w:r>
      <w:r w:rsidR="009C1BAF">
        <w:t>wildfire</w:t>
      </w:r>
      <w:r w:rsidRPr="009208E5">
        <w:t xml:space="preserve"> salvage </w:t>
      </w:r>
      <w:r w:rsidR="00303231">
        <w:t>logging</w:t>
      </w:r>
      <w:r w:rsidRPr="009208E5">
        <w:t xml:space="preserve"> is often conducted to recover economic value in the dead and damaged trees that would otherwise be lost. Other</w:t>
      </w:r>
      <w:r>
        <w:t xml:space="preserve"> specific objectives include: mitigating safety concerns, reducing fuels available for subsequent </w:t>
      </w:r>
      <w:r w:rsidR="00AD2298">
        <w:t>wildfires</w:t>
      </w:r>
      <w:r>
        <w:t xml:space="preserve">; reducing the incidence of forest pests and speeding the re-establishment of forest cover. </w:t>
      </w:r>
      <w:r w:rsidR="00E64C90">
        <w:t>While salvage logging may be an effective management response</w:t>
      </w:r>
      <w:r w:rsidR="006D3EC3">
        <w:t xml:space="preserve"> to disturbance</w:t>
      </w:r>
      <w:r w:rsidR="00E64C90">
        <w:t xml:space="preserve">, the degree to which </w:t>
      </w:r>
      <w:r>
        <w:t xml:space="preserve">these objectives can be achieved, and </w:t>
      </w:r>
      <w:r w:rsidR="00E64C90">
        <w:t xml:space="preserve">whether </w:t>
      </w:r>
      <w:r>
        <w:t xml:space="preserve">attempts to achieve them compromise other values on the landscape, </w:t>
      </w:r>
      <w:r w:rsidR="00E64C90">
        <w:t xml:space="preserve">remains </w:t>
      </w:r>
      <w:r>
        <w:t>a matter of debate</w:t>
      </w:r>
      <w:r w:rsidR="00EE4F4F">
        <w:t>.</w:t>
      </w:r>
      <w:r>
        <w:t xml:space="preserve"> </w:t>
      </w:r>
      <w:r>
        <w:fldChar w:fldCharType="begin"/>
      </w:r>
      <w:r w:rsidR="004C2E00">
        <w:instrText xml:space="preserve"> ADDIN ZOTERO_ITEM CSL_CITATION {"citationID":"quX2QQzY","properties":{"formattedCitation":"{\\rtf \\super 8,19,20\\nosupersub{}}","plainCitation":"8,19,20"},"citationItems":[{"id":860,"uris":["http://zotero.org/users/2487980/items/UUA44AY5"],"uri":["http://zotero.org/users/2487980/items/UUA44AY5"],"itemData":{"id":860,"type":"book","title":"Salvage Logging and Its Ecological Consequences","publisher":"Island Press","publisher-place":"Washington DC","number-of-pages":"247","source":"Google Books","event-place":"Washington DC","abstract":"Salvage logging—removing trees from a forested area in the wake of a catastrophic event such as a wildfire or hurricane—is highly controversial. Policymakers and those with an economic interest in harvesting trees typically argue that damaged areas should be logged so as to avoid “wasting” resources, while many forest ecologists contend that removing trees following a disturbance is harmful to a variety of forest species and can interfere with the natural process of ecosystem recovery.   Salvage Logging and Its Ecological Consequences brings together three leading experts on forest ecology to explore a wide range of issues surrounding the practice of salvage logging. They gather and synthesize the latest research and information about its economic and ecological costs and benefits, and consider the impacts of salvage logging on ecosystem processes and biodiversity. The book examines   • what salvage logging is and why it is controversial • natural and human disturbance regimes in forested ecosystems • differences between salvage harvesting and traditional timber harvesting • scientifically documented ecological impacts of salvage operations • the importance of land management objectives in determining appropriate post-disturbance interventions   Brief case studies from around the world highlight a variety of projects, including operations that have followed wildfires, storms, volcanic eruptions, and insect infestations. In the final chapter, the authors discuss policy management implications and offer prescriptions for mitigating the impacts of future salvage harvesting efforts.    Salvage Logging and Its Ecological Consequences is a “must-read” volume for policymakers, students, academics, practitioners, and professionals involved in all aspects of forest management, natural resource planning, and forest conservation.","ISBN":"978-1-61091-146-7","note":"Google-Books-ID: 9HX56iaZuncC","language":"en","author":[{"family":"Lindenmayer","given":"David B."},{"family":"Burton","given":"Philip J."},{"family":"Franklin","given":"Jerry F."}],"issued":{"date-parts":[["2008"]]}}},{"id":610,"uris":["http://zotero.org/users/2487980/items/3MA9CEJ9"],"uri":["http://zotero.org/users/2487980/items/3MA9CEJ9"],"itemData":{"id":610,"type":"report","title":"Effects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S."}],"issued":{"date-parts":[["2009"]]},"accessed":{"date-parts":[["2017",8,28]]}}},{"id":730,"uris":["http://zotero.org/users/2487980/items/62SCVJII"],"uri":["http://zotero.org/users/2487980/items/62SCVJII"],"itemData":{"id":730,"type":"article-journal","title":"Hillslope erosion two and three years after wildfire, skyline salvage logging, and site preparation in southern Oregon, USA","container-title":"Forest Ecology and Management","page":"1-7","volume":"342","issue":"Supplement C","source":"ScienceDirect","abstract":"Harvest of dead timber following wildfire is contentious because of a perception that the benefits are outweighed by environmental costs. One primary concern is the potential for increased erosion susceptibility associated with timber extraction (i.e. salvage logging) and site preparation. We measured erosion at the Timbered Rock Fire in southwestern Oregon on replicated sites that were either salvage logged on private land or non-salvage logged on adjacent public lands. Sediment was collected from silt fences placed in locations with relatively uniform hillslope surface conditions beginning in 2004 (2years post fire) for a period of two years. Mean erosion was 0.02 and 0.05Mgha−1yr−1 for 2004–05, and 0.04 and 0.14Mgha−1yr−1 for 2005–06, for non-salvage and salvage-logged areas, respectively. Vegetation cover was much lower in the salvage-logged areas (5–20%) than the non-salvage areas (70–80%), and was negatively correlated with erosion in the first year of measurement (r=−0.58, p=0.02). Increased erosion at salvage-logged plots is most likely associated with competing vegetation control and slash removal, but may have also been caused by some other management factor or preexisting condition that differed between measurement locations on private and public land. Increased erosion in the second year of measurement at all sites was associated with increased rainfall and storm frequency. Although control of competing vegetation may be critical for successful tree establishment following wildfire, our results suggest that site preparation techniques which inhibit growth of vegetation may contribute to increased hillslope erosion in high-risk areas, especially when increased rainfall and storms occur.","DOI":"10.1016/j.foreco.2015.01.007","ISSN":"0378-1127","journalAbbreviation":"Forest Ecology and Management","author":[{"family":"Slesak","given":"Robert A."},{"family":"Schoenholtz","given":"Stephen H."},{"family":"Evans","given":"Daniel"}],"issued":{"date-parts":[["2015",4,15]]}}}],"schema":"https://github.com/citation-style-language/schema/raw/master/csl-citation.json"} </w:instrText>
      </w:r>
      <w:r>
        <w:fldChar w:fldCharType="separate"/>
      </w:r>
      <w:r w:rsidR="004C2E00" w:rsidRPr="004C2E00">
        <w:rPr>
          <w:rFonts w:ascii="Calibri" w:hAnsi="Calibri" w:cs="Calibri"/>
          <w:szCs w:val="24"/>
          <w:vertAlign w:val="superscript"/>
        </w:rPr>
        <w:t>8,19,20</w:t>
      </w:r>
      <w:r>
        <w:fldChar w:fldCharType="end"/>
      </w:r>
      <w:r w:rsidR="000E0CEA" w:rsidRPr="000E0CEA">
        <w:rPr>
          <w:vertAlign w:val="superscript"/>
        </w:rPr>
        <w:t>-</w:t>
      </w:r>
      <w:r>
        <w:fldChar w:fldCharType="begin"/>
      </w:r>
      <w:r w:rsidR="009F50B6">
        <w:instrText xml:space="preserve"> ADDIN ZOTERO_ITEM CSL_CITATION {"citationID":"3hKZklLE","properties":{"formattedCitation":"{\\rtf \\super 21\\nosupersub{}}","plainCitation":"21"},"citationItems":[{"id":914,"uris":["http://zotero.org/users/2487980/items/UZGWIFS7"],"uri":["http://zotero.org/users/2487980/items/UZGWIFS7"],"itemData":{"id":914,"type":"article-journal","title":"Reconciling Salvage Logging of Boreal Forests with a Natural-Disturbance Management Model","container-title":"Conservation Biology","page":"971-983","volume":"20","issue":"4","source":"Wiley Online Library","abstract":"Abstract: In North American boreal forests, wildfire is the dominant agent of natural disturbance. A natural-disturbance model has therefore been promoted as an ecologically based approach to forest harvesting in these systems. Given accelerating resource demands, fire competes with harvest for timber, and there is increasing pressure to salvage naturally burned areas. This creates a management paradox: simultaneous promotion of natural disturbance as a guide to sustainability while salvaging forests that have been naturally disturbed. The major drivers of postfire salvage in Canadian boreal forests are societal perceptions, overallocation of forest resources, and economic and policy incentives, and postfire salvage compromises forest sustainability by diminishing the role of fire as a critical, natural process. These factors might be reconciled through consideration of fire in resource allocations and application of active adaptive management. We provide novel treatment of the role of burn severity in mediating biotic response by examining its influence on the amount, type, and distribution of live, postfire residual material, and we highlight the role of fire in shaping spatial and temporal patterns in forest biodiversity. Maintenance of natural postfire forests is a critical component of an ecosystem-based approach to forest management in boreal systems. Nevertheless, present practices focus heavily on expediting removal of timber from burned forests, despite increasing evidence that postfire communities differ markedly from postharvest systems, and there is a mismatch between emerging management models and past management practices. Policies that recognize the critical role of fire in these systems and facilitate enhanced understanding of natural system dynamics in support of development of sustainable management practices are urgently needed.","DOI":"10.1111/j.1523-1739.2006.00496.x","ISSN":"1523-1739","language":"en","author":[{"family":"Schmiegelow","given":"Fiona K.a."},{"family":"Stepnisky","given":"David P."},{"family":"Stambaugh","given":"Curtis A."},{"family":"Koivula","given":"Matti"}],"issued":{"date-parts":[["2006",8,1]]}}}],"schema":"https://github.com/citation-style-language/schema/raw/master/csl-citation.json"} </w:instrText>
      </w:r>
      <w:r>
        <w:fldChar w:fldCharType="separate"/>
      </w:r>
      <w:r w:rsidR="009F50B6" w:rsidRPr="009F50B6">
        <w:rPr>
          <w:rFonts w:ascii="Calibri" w:hAnsi="Calibri" w:cs="Calibri"/>
          <w:szCs w:val="24"/>
          <w:vertAlign w:val="superscript"/>
        </w:rPr>
        <w:t>21</w:t>
      </w:r>
      <w:r>
        <w:fldChar w:fldCharType="end"/>
      </w:r>
    </w:p>
    <w:p w14:paraId="3CA34142" w14:textId="7E0DED77" w:rsidR="00137BDB" w:rsidRDefault="00137BDB" w:rsidP="00137BDB">
      <w:pPr>
        <w:pStyle w:val="Heading2"/>
      </w:pPr>
      <w:bookmarkStart w:id="47" w:name="_Toc498345452"/>
      <w:bookmarkStart w:id="48" w:name="_Toc498345840"/>
      <w:bookmarkStart w:id="49" w:name="_Toc498345910"/>
      <w:bookmarkStart w:id="50" w:name="_Toc498952956"/>
      <w:bookmarkStart w:id="51" w:name="_Toc503934752"/>
      <w:r>
        <w:t>Ecological resilience</w:t>
      </w:r>
      <w:r w:rsidR="00EB3039">
        <w:t xml:space="preserve"> and</w:t>
      </w:r>
      <w:r>
        <w:t xml:space="preserve"> climate change</w:t>
      </w:r>
      <w:bookmarkEnd w:id="47"/>
      <w:bookmarkEnd w:id="48"/>
      <w:bookmarkEnd w:id="49"/>
      <w:bookmarkEnd w:id="50"/>
      <w:bookmarkEnd w:id="51"/>
    </w:p>
    <w:p w14:paraId="5E0B545F" w14:textId="507C027A" w:rsidR="00137BDB" w:rsidRDefault="00702EE2" w:rsidP="00137BDB">
      <w:pPr>
        <w:jc w:val="both"/>
      </w:pPr>
      <w:r>
        <w:rPr>
          <w:noProof/>
          <w:lang w:val="en-CA" w:eastAsia="en-CA"/>
        </w:rPr>
        <mc:AlternateContent>
          <mc:Choice Requires="wps">
            <w:drawing>
              <wp:anchor distT="91440" distB="91440" distL="114300" distR="114300" simplePos="0" relativeHeight="251660800" behindDoc="0" locked="0" layoutInCell="1" allowOverlap="1" wp14:anchorId="56C1AFE3" wp14:editId="4419108B">
                <wp:simplePos x="0" y="0"/>
                <wp:positionH relativeFrom="page">
                  <wp:posOffset>3373755</wp:posOffset>
                </wp:positionH>
                <wp:positionV relativeFrom="paragraph">
                  <wp:posOffset>1919605</wp:posOffset>
                </wp:positionV>
                <wp:extent cx="3545205" cy="1403985"/>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45205" cy="1403985"/>
                        </a:xfrm>
                        <a:prstGeom prst="rect">
                          <a:avLst/>
                        </a:prstGeom>
                        <a:noFill/>
                        <a:ln w="9525">
                          <a:noFill/>
                          <a:miter lim="800000"/>
                          <a:headEnd/>
                          <a:tailEnd/>
                        </a:ln>
                      </wps:spPr>
                      <wps:txbx>
                        <w:txbxContent>
                          <w:p w14:paraId="423AD092" w14:textId="53DF2159" w:rsidR="00742B64" w:rsidRPr="001C4256" w:rsidRDefault="00742B64" w:rsidP="00101B5A">
                            <w:pPr>
                              <w:pBdr>
                                <w:top w:val="single" w:sz="24" w:space="8" w:color="5B9BD5" w:themeColor="accent1"/>
                                <w:bottom w:val="single" w:sz="24" w:space="8" w:color="5B9BD5" w:themeColor="accent1"/>
                              </w:pBdr>
                              <w:spacing w:after="0" w:line="240" w:lineRule="auto"/>
                              <w:jc w:val="both"/>
                              <w:rPr>
                                <w:i/>
                                <w:iCs/>
                                <w:color w:val="5B9BD5" w:themeColor="accent1"/>
                              </w:rPr>
                            </w:pPr>
                            <w:r w:rsidRPr="001C4256">
                              <w:rPr>
                                <w:b/>
                                <w:i/>
                                <w:iCs/>
                                <w:color w:val="5B9BD5" w:themeColor="accent1"/>
                                <w:u w:val="single"/>
                              </w:rPr>
                              <w:t xml:space="preserve">BOX </w:t>
                            </w:r>
                            <w:r>
                              <w:rPr>
                                <w:b/>
                                <w:i/>
                                <w:iCs/>
                                <w:color w:val="5B9BD5" w:themeColor="accent1"/>
                                <w:u w:val="single"/>
                              </w:rPr>
                              <w:t>2</w:t>
                            </w:r>
                            <w:r w:rsidRPr="001C4256">
                              <w:rPr>
                                <w:b/>
                                <w:i/>
                                <w:iCs/>
                                <w:color w:val="5B9BD5" w:themeColor="accent1"/>
                                <w:u w:val="single"/>
                              </w:rPr>
                              <w:t xml:space="preserve">. Ecological </w:t>
                            </w:r>
                            <w:r>
                              <w:rPr>
                                <w:b/>
                                <w:i/>
                                <w:iCs/>
                                <w:color w:val="5B9BD5" w:themeColor="accent1"/>
                                <w:u w:val="single"/>
                              </w:rPr>
                              <w:t>T</w:t>
                            </w:r>
                            <w:r w:rsidRPr="001C4256">
                              <w:rPr>
                                <w:b/>
                                <w:i/>
                                <w:iCs/>
                                <w:color w:val="5B9BD5" w:themeColor="accent1"/>
                                <w:u w:val="single"/>
                              </w:rPr>
                              <w:t>hresholds:</w:t>
                            </w:r>
                            <w:r>
                              <w:rPr>
                                <w:b/>
                                <w:i/>
                                <w:iCs/>
                                <w:color w:val="5B9BD5" w:themeColor="accent1"/>
                                <w:u w:val="single"/>
                              </w:rPr>
                              <w:t xml:space="preserve"> </w:t>
                            </w:r>
                            <w:r w:rsidRPr="001C4256">
                              <w:rPr>
                                <w:i/>
                                <w:iCs/>
                                <w:color w:val="5B9BD5" w:themeColor="accent1"/>
                              </w:rPr>
                              <w:t xml:space="preserve">At the </w:t>
                            </w:r>
                            <w:r>
                              <w:rPr>
                                <w:i/>
                                <w:iCs/>
                                <w:color w:val="5B9BD5" w:themeColor="accent1"/>
                              </w:rPr>
                              <w:t>boundaries</w:t>
                            </w:r>
                            <w:r w:rsidRPr="001C4256">
                              <w:rPr>
                                <w:i/>
                                <w:iCs/>
                                <w:color w:val="5B9BD5" w:themeColor="accent1"/>
                              </w:rPr>
                              <w:t xml:space="preserve"> of system capacity, ecosystems lose resilience where ecological thresholds occur - changes in key</w:t>
                            </w:r>
                            <w:r>
                              <w:rPr>
                                <w:i/>
                                <w:iCs/>
                                <w:color w:val="5B9BD5" w:themeColor="accent1"/>
                              </w:rPr>
                              <w:t xml:space="preserve"> ecosystem </w:t>
                            </w:r>
                            <w:r w:rsidRPr="001C4256">
                              <w:rPr>
                                <w:i/>
                                <w:iCs/>
                                <w:color w:val="5B9BD5" w:themeColor="accent1"/>
                              </w:rPr>
                              <w:t>processes that produce a markedly different condition. Ecological thresholds</w:t>
                            </w:r>
                            <w:r>
                              <w:rPr>
                                <w:i/>
                                <w:iCs/>
                                <w:color w:val="5B9BD5" w:themeColor="accent1"/>
                              </w:rPr>
                              <w:t xml:space="preserve"> and the loss of resilience</w:t>
                            </w:r>
                            <w:r w:rsidRPr="001C4256">
                              <w:rPr>
                                <w:i/>
                                <w:iCs/>
                                <w:color w:val="5B9BD5" w:themeColor="accent1"/>
                              </w:rPr>
                              <w:t xml:space="preserve"> </w:t>
                            </w:r>
                            <w:r>
                              <w:rPr>
                                <w:i/>
                                <w:iCs/>
                                <w:color w:val="5B9BD5" w:themeColor="accent1"/>
                              </w:rPr>
                              <w:t>are</w:t>
                            </w:r>
                            <w:r w:rsidRPr="001C4256">
                              <w:rPr>
                                <w:i/>
                                <w:iCs/>
                                <w:color w:val="5B9BD5" w:themeColor="accent1"/>
                              </w:rPr>
                              <w:t xml:space="preserve"> of particular management concern </w:t>
                            </w:r>
                            <w:r>
                              <w:rPr>
                                <w:i/>
                                <w:iCs/>
                                <w:color w:val="5B9BD5" w:themeColor="accent1"/>
                              </w:rPr>
                              <w:t xml:space="preserve">in wildfire affected areas </w:t>
                            </w:r>
                            <w:r w:rsidRPr="001C4256">
                              <w:rPr>
                                <w:i/>
                                <w:iCs/>
                                <w:color w:val="5B9BD5" w:themeColor="accent1"/>
                              </w:rPr>
                              <w:t>because b</w:t>
                            </w:r>
                            <w:r w:rsidRPr="00CD66FF">
                              <w:rPr>
                                <w:i/>
                                <w:iCs/>
                                <w:color w:val="5B9BD5" w:themeColor="accent1"/>
                              </w:rPr>
                              <w:t xml:space="preserve">reaching </w:t>
                            </w:r>
                            <w:r>
                              <w:rPr>
                                <w:i/>
                                <w:iCs/>
                                <w:color w:val="5B9BD5" w:themeColor="accent1"/>
                              </w:rPr>
                              <w:t>thresholds</w:t>
                            </w:r>
                            <w:r w:rsidRPr="00CD66FF">
                              <w:rPr>
                                <w:i/>
                                <w:iCs/>
                                <w:color w:val="5B9BD5" w:themeColor="accent1"/>
                              </w:rPr>
                              <w:t xml:space="preserve"> </w:t>
                            </w:r>
                            <w:r>
                              <w:rPr>
                                <w:i/>
                                <w:iCs/>
                                <w:color w:val="5B9BD5" w:themeColor="accent1"/>
                              </w:rPr>
                              <w:t>can c</w:t>
                            </w:r>
                            <w:r w:rsidRPr="001C4256">
                              <w:rPr>
                                <w:i/>
                                <w:iCs/>
                                <w:color w:val="5B9BD5" w:themeColor="accent1"/>
                              </w:rPr>
                              <w:t>ause long-lived or effectively irreversible changes on the landscape</w:t>
                            </w:r>
                            <w:r>
                              <w:rPr>
                                <w:i/>
                                <w:iCs/>
                                <w:color w:val="5B9BD5" w:themeColor="accent1"/>
                              </w:rPr>
                              <w:t>,</w:t>
                            </w:r>
                            <w:r w:rsidRPr="001C4256">
                              <w:rPr>
                                <w:i/>
                                <w:iCs/>
                                <w:color w:val="5B9BD5" w:themeColor="accent1"/>
                              </w:rPr>
                              <w:t xml:space="preserve"> such as loss of the ability to self-organ</w:t>
                            </w:r>
                            <w:r>
                              <w:rPr>
                                <w:i/>
                                <w:iCs/>
                                <w:color w:val="5B9BD5" w:themeColor="accent1"/>
                              </w:rPr>
                              <w:t xml:space="preserve">ize to the previous state. In wildfire landscapes, loss of resilience could result in </w:t>
                            </w:r>
                            <w:r w:rsidRPr="001C4256">
                              <w:rPr>
                                <w:i/>
                                <w:iCs/>
                                <w:color w:val="5B9BD5" w:themeColor="accent1"/>
                              </w:rPr>
                              <w:t xml:space="preserve">shifts to </w:t>
                            </w:r>
                            <w:r>
                              <w:rPr>
                                <w:i/>
                                <w:iCs/>
                                <w:color w:val="5B9BD5" w:themeColor="accent1"/>
                              </w:rPr>
                              <w:t xml:space="preserve">grasslands, persistent shrub-dominated states or </w:t>
                            </w:r>
                            <w:r w:rsidRPr="001C4256">
                              <w:rPr>
                                <w:i/>
                                <w:iCs/>
                                <w:color w:val="5B9BD5" w:themeColor="accent1"/>
                              </w:rPr>
                              <w:t>different</w:t>
                            </w:r>
                            <w:r>
                              <w:rPr>
                                <w:i/>
                                <w:iCs/>
                                <w:color w:val="5B9BD5" w:themeColor="accent1"/>
                              </w:rPr>
                              <w:t xml:space="preserve"> (i.e., less desirable)</w:t>
                            </w:r>
                            <w:r w:rsidRPr="001C4256">
                              <w:rPr>
                                <w:i/>
                                <w:iCs/>
                                <w:color w:val="5B9BD5" w:themeColor="accent1"/>
                              </w:rPr>
                              <w:t xml:space="preserve"> forest </w:t>
                            </w:r>
                            <w:r>
                              <w:rPr>
                                <w:i/>
                                <w:iCs/>
                                <w:color w:val="5B9BD5" w:themeColor="accent1"/>
                              </w:rPr>
                              <w:t>composition and structure (e.g., lower value tree species, low density stocking).</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4" type="#_x0000_t202" style="position:absolute;left:0;text-align:left;margin-left:265.65pt;margin-top:151.15pt;width:279.15pt;height:110.55pt;z-index:251660800;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" filled="f" stroked="f">
                <v:textbox style="mso-fit-shape-to-text:t">
                  <w:txbxContent>
                    <w:p w14:paraId="423AD092" w14:textId="53DF2159" w:rsidR="00742B64" w:rsidRPr="001C4256" w:rsidRDefault="00742B64" w:rsidP="00101B5A">
                      <w:pPr>
                        <w:pBdr>
                          <w:top w:val="single" w:sz="24" w:space="8" w:color="5B9BD5" w:themeColor="accent1"/>
                          <w:bottom w:val="single" w:sz="24" w:space="8" w:color="5B9BD5" w:themeColor="accent1"/>
                        </w:pBdr>
                        <w:spacing w:after="0" w:line="240" w:lineRule="auto"/>
                        <w:jc w:val="both"/>
                        <w:rPr>
                          <w:i/>
                          <w:iCs/>
                          <w:color w:val="5B9BD5" w:themeColor="accent1"/>
                        </w:rPr>
                      </w:pPr>
                      <w:r w:rsidRPr="001C4256">
                        <w:rPr>
                          <w:b/>
                          <w:i/>
                          <w:iCs/>
                          <w:color w:val="5B9BD5" w:themeColor="accent1"/>
                          <w:u w:val="single"/>
                        </w:rPr>
                        <w:t xml:space="preserve">BOX </w:t>
                      </w:r>
                      <w:r>
                        <w:rPr>
                          <w:b/>
                          <w:i/>
                          <w:iCs/>
                          <w:color w:val="5B9BD5" w:themeColor="accent1"/>
                          <w:u w:val="single"/>
                        </w:rPr>
                        <w:t>2</w:t>
                      </w:r>
                      <w:r w:rsidRPr="001C4256">
                        <w:rPr>
                          <w:b/>
                          <w:i/>
                          <w:iCs/>
                          <w:color w:val="5B9BD5" w:themeColor="accent1"/>
                          <w:u w:val="single"/>
                        </w:rPr>
                        <w:t xml:space="preserve">. Ecological </w:t>
                      </w:r>
                      <w:r>
                        <w:rPr>
                          <w:b/>
                          <w:i/>
                          <w:iCs/>
                          <w:color w:val="5B9BD5" w:themeColor="accent1"/>
                          <w:u w:val="single"/>
                        </w:rPr>
                        <w:t>T</w:t>
                      </w:r>
                      <w:r w:rsidRPr="001C4256">
                        <w:rPr>
                          <w:b/>
                          <w:i/>
                          <w:iCs/>
                          <w:color w:val="5B9BD5" w:themeColor="accent1"/>
                          <w:u w:val="single"/>
                        </w:rPr>
                        <w:t>hresholds:</w:t>
                      </w:r>
                      <w:r>
                        <w:rPr>
                          <w:b/>
                          <w:i/>
                          <w:iCs/>
                          <w:color w:val="5B9BD5" w:themeColor="accent1"/>
                          <w:u w:val="single"/>
                        </w:rPr>
                        <w:t xml:space="preserve"> </w:t>
                      </w:r>
                      <w:r w:rsidRPr="001C4256">
                        <w:rPr>
                          <w:i/>
                          <w:iCs/>
                          <w:color w:val="5B9BD5" w:themeColor="accent1"/>
                        </w:rPr>
                        <w:t xml:space="preserve">At the </w:t>
                      </w:r>
                      <w:r>
                        <w:rPr>
                          <w:i/>
                          <w:iCs/>
                          <w:color w:val="5B9BD5" w:themeColor="accent1"/>
                        </w:rPr>
                        <w:t>boundaries</w:t>
                      </w:r>
                      <w:r w:rsidRPr="001C4256">
                        <w:rPr>
                          <w:i/>
                          <w:iCs/>
                          <w:color w:val="5B9BD5" w:themeColor="accent1"/>
                        </w:rPr>
                        <w:t xml:space="preserve"> of system capacity, ecosystems lose resilience where ecological thresholds occur - changes in key</w:t>
                      </w:r>
                      <w:r>
                        <w:rPr>
                          <w:i/>
                          <w:iCs/>
                          <w:color w:val="5B9BD5" w:themeColor="accent1"/>
                        </w:rPr>
                        <w:t xml:space="preserve"> ecosystem </w:t>
                      </w:r>
                      <w:r w:rsidRPr="001C4256">
                        <w:rPr>
                          <w:i/>
                          <w:iCs/>
                          <w:color w:val="5B9BD5" w:themeColor="accent1"/>
                        </w:rPr>
                        <w:t>processes that produce a markedly different condition. Ecological thresholds</w:t>
                      </w:r>
                      <w:r>
                        <w:rPr>
                          <w:i/>
                          <w:iCs/>
                          <w:color w:val="5B9BD5" w:themeColor="accent1"/>
                        </w:rPr>
                        <w:t xml:space="preserve"> and the loss of resilience</w:t>
                      </w:r>
                      <w:r w:rsidRPr="001C4256">
                        <w:rPr>
                          <w:i/>
                          <w:iCs/>
                          <w:color w:val="5B9BD5" w:themeColor="accent1"/>
                        </w:rPr>
                        <w:t xml:space="preserve"> </w:t>
                      </w:r>
                      <w:r>
                        <w:rPr>
                          <w:i/>
                          <w:iCs/>
                          <w:color w:val="5B9BD5" w:themeColor="accent1"/>
                        </w:rPr>
                        <w:t>are</w:t>
                      </w:r>
                      <w:r w:rsidRPr="001C4256">
                        <w:rPr>
                          <w:i/>
                          <w:iCs/>
                          <w:color w:val="5B9BD5" w:themeColor="accent1"/>
                        </w:rPr>
                        <w:t xml:space="preserve"> of particular management concern </w:t>
                      </w:r>
                      <w:r>
                        <w:rPr>
                          <w:i/>
                          <w:iCs/>
                          <w:color w:val="5B9BD5" w:themeColor="accent1"/>
                        </w:rPr>
                        <w:t xml:space="preserve">in wildfire affected areas </w:t>
                      </w:r>
                      <w:r w:rsidRPr="001C4256">
                        <w:rPr>
                          <w:i/>
                          <w:iCs/>
                          <w:color w:val="5B9BD5" w:themeColor="accent1"/>
                        </w:rPr>
                        <w:t>because b</w:t>
                      </w:r>
                      <w:r w:rsidRPr="00CD66FF">
                        <w:rPr>
                          <w:i/>
                          <w:iCs/>
                          <w:color w:val="5B9BD5" w:themeColor="accent1"/>
                        </w:rPr>
                        <w:t xml:space="preserve">reaching </w:t>
                      </w:r>
                      <w:r>
                        <w:rPr>
                          <w:i/>
                          <w:iCs/>
                          <w:color w:val="5B9BD5" w:themeColor="accent1"/>
                        </w:rPr>
                        <w:t>thresholds</w:t>
                      </w:r>
                      <w:r w:rsidRPr="00CD66FF">
                        <w:rPr>
                          <w:i/>
                          <w:iCs/>
                          <w:color w:val="5B9BD5" w:themeColor="accent1"/>
                        </w:rPr>
                        <w:t xml:space="preserve"> </w:t>
                      </w:r>
                      <w:r>
                        <w:rPr>
                          <w:i/>
                          <w:iCs/>
                          <w:color w:val="5B9BD5" w:themeColor="accent1"/>
                        </w:rPr>
                        <w:t>can c</w:t>
                      </w:r>
                      <w:r w:rsidRPr="001C4256">
                        <w:rPr>
                          <w:i/>
                          <w:iCs/>
                          <w:color w:val="5B9BD5" w:themeColor="accent1"/>
                        </w:rPr>
                        <w:t>ause long-lived or effectively irreversible changes on the landscape</w:t>
                      </w:r>
                      <w:r>
                        <w:rPr>
                          <w:i/>
                          <w:iCs/>
                          <w:color w:val="5B9BD5" w:themeColor="accent1"/>
                        </w:rPr>
                        <w:t>,</w:t>
                      </w:r>
                      <w:r w:rsidRPr="001C4256">
                        <w:rPr>
                          <w:i/>
                          <w:iCs/>
                          <w:color w:val="5B9BD5" w:themeColor="accent1"/>
                        </w:rPr>
                        <w:t xml:space="preserve"> such as loss of the ability to self-organ</w:t>
                      </w:r>
                      <w:r>
                        <w:rPr>
                          <w:i/>
                          <w:iCs/>
                          <w:color w:val="5B9BD5" w:themeColor="accent1"/>
                        </w:rPr>
                        <w:t xml:space="preserve">ize to the previous state. In wildfire landscapes, loss of resilience could result in </w:t>
                      </w:r>
                      <w:r w:rsidRPr="001C4256">
                        <w:rPr>
                          <w:i/>
                          <w:iCs/>
                          <w:color w:val="5B9BD5" w:themeColor="accent1"/>
                        </w:rPr>
                        <w:t xml:space="preserve">shifts to </w:t>
                      </w:r>
                      <w:r>
                        <w:rPr>
                          <w:i/>
                          <w:iCs/>
                          <w:color w:val="5B9BD5" w:themeColor="accent1"/>
                        </w:rPr>
                        <w:t xml:space="preserve">grasslands, persistent shrub-dominated states or </w:t>
                      </w:r>
                      <w:r w:rsidRPr="001C4256">
                        <w:rPr>
                          <w:i/>
                          <w:iCs/>
                          <w:color w:val="5B9BD5" w:themeColor="accent1"/>
                        </w:rPr>
                        <w:t>different</w:t>
                      </w:r>
                      <w:r>
                        <w:rPr>
                          <w:i/>
                          <w:iCs/>
                          <w:color w:val="5B9BD5" w:themeColor="accent1"/>
                        </w:rPr>
                        <w:t xml:space="preserve"> (i.e., less desirable)</w:t>
                      </w:r>
                      <w:r w:rsidRPr="001C4256">
                        <w:rPr>
                          <w:i/>
                          <w:iCs/>
                          <w:color w:val="5B9BD5" w:themeColor="accent1"/>
                        </w:rPr>
                        <w:t xml:space="preserve"> forest </w:t>
                      </w:r>
                      <w:r>
                        <w:rPr>
                          <w:i/>
                          <w:iCs/>
                          <w:color w:val="5B9BD5" w:themeColor="accent1"/>
                        </w:rPr>
                        <w:t>composition and structure (e.g., lower value tree species, low density stocking).</w:t>
                      </w:r>
                    </w:p>
                  </w:txbxContent>
                </v:textbox>
                <w10:wrap type="square" anchorx="page"/>
              </v:shape>
            </w:pict>
          </mc:Fallback>
        </mc:AlternateContent>
      </w:r>
      <w:r w:rsidR="00137BDB">
        <w:t>The ecological resilience of a system refers to the amount and type of disturbance an ecosystem can absorb while still maintaining its key organizing processes and structural and functional identity.</w:t>
      </w:r>
      <w:r w:rsidR="00137BDB">
        <w:fldChar w:fldCharType="begin"/>
      </w:r>
      <w:r w:rsidR="004C2E00">
        <w:instrText xml:space="preserve"> ADDIN ZOTERO_ITEM CSL_CITATION {"citationID":"cDkKuBLt","properties":{"formattedCitation":"{\\rtf \\super 6,22\\nosupersub{}}","plainCitation":"6,22"},"citationItems":[{"id":773,"uris":["http://zotero.org/users/2487980/items/NMQWCZCF"],"uri":["http://zotero.org/users/2487980/items/NMQWCZCF"],"itemData":{"id":773,"type":"report","title":"Ecological resilience and complexity: a theoretical framework for understanding and managing British Columbia’s forest ecosystems in a changing climate","publisher":"MFLNRO","publisher-place":"Victoria BC","genre":"Technical Report","event-place":"Victoria BC","abstract":"This Technical Report is one of a series of foundation papers for the British Columbia Ministry of Forests and Range's Future Forest Ecosystems Initiative (FFEI). The series of foundation papers will increase awareness about the potential impact of climate change on forest range resources in British Columbia. It will also provide information to help assess the vulnerability of British Columbia's forest and range resources to climate change and guide the development of adaptation strategies.\n\nThis report summarizes the theory of ecological resilience and explores how this aspect of complex system science provides guidance for managing forests in a changing climate.","URL":"https://www.for.gov.bc.ca/hfd/pubs/docs/tr/tr055.htm","number":"55","author":[{"family":"Campbell","given":"Elizabeth"},{"family":"Saunders","given":"Sari C."},{"family":"coates","given":"K. D."},{"family":"Meidinger","given":"Del"},{"family":"MacKinnon","given":"Andy"},{"family":"O'Neill","given":"Greg"},{"family":"MacKillop","given":"Deb"},{"family":"DeLong","given":"S. Craig"},{"family":"Morgan","given":"Don"}],"issued":{"date-parts":[["2009"]]},"accessed":{"date-parts":[["2017",10,4]]}}},{"id":709,"uris":["http://zotero.org/users/2487980/items/JBFN35EI"],"uri":["http://zotero.org/users/2487980/items/JBFN35EI"],"itemData":{"id":709,"type":"article-journal","title":"Disturbance interactions: characterization, prediction, and the potential for cascading effects","container-title":"Ecosphere","page":"1-15","volume":"6","issue":"4","source":"Wiley Online Library","abstract":"Disturbances are fundamental components of ecosystems and, in many cases, a dominant driver of ecosystem structure and function at multiple spatial and temporal scales. While the effect of any one disturbance may be relatively well understood, multiple interacting disturbances can cause unexpected disturbance behavior (e.g., larger extents), altered return likelihoods, or reduced ecosystem resilience and regime shifts. Given the long-lasting implications of such events, and the potential for changes in disturbance rates driven by climate change and increasing anthropogenic pressures, developing a broad conceptual understanding and some predictive ability regarding the likelihood of interactions between disturbances is crucial. Through a broad synthesis of the literature, and across multiple biomes, disturbance interactions are placed into a unified framework around the concept of changing ecosystem resistance (“linked interactions,” alterations to likelihood, extent, or severity) or ecosystem resilience (“compound interactions,” alterations to recovery time or trajectory). Understanding and predicting disturbance interactions requires disaggregating disturbances into their constituent legacies, identifying the mechanisms which drive disturbances behavior (or ecosystem recovery), and determining when and where those mechanisms might be altered by the legacies of prior disturbances. The potential for cascading effects is discussed, by which these interactions may extend the reach of anthropogenic or climate change-induced alterations to disturbances beyond what is currently anticipated. Finally, several avenues for future research are outlined, as suggested from the current literature (and areas in which that literature is lacking). These include the potential for cross-scale interactions and changing scale-driven limitations, further work on cascading effects, and the potential for cross-biome comparisons. Disturbance interactions have the potential to cause large, nonlinear, or unexpected changes in ecosystem structure and functioning; finding generality across these complex events is an important step in predicting their occurrence and understanding their significance.","DOI":"10.1890/ES15-00058.1","ISSN":"2150-8925","shortTitle":"Disturbance interactions","language":"en","author":[{"family":"Buma","given":"B."}],"issued":{"date-parts":[["2015",4,1]]}}}],"schema":"https://github.com/citation-style-language/schema/raw/master/csl-citation.json"} </w:instrText>
      </w:r>
      <w:r w:rsidR="00137BDB">
        <w:fldChar w:fldCharType="separate"/>
      </w:r>
      <w:r w:rsidR="004C2E00" w:rsidRPr="004C2E00">
        <w:rPr>
          <w:rFonts w:ascii="Calibri" w:hAnsi="Calibri" w:cs="Calibri"/>
          <w:szCs w:val="24"/>
          <w:vertAlign w:val="superscript"/>
        </w:rPr>
        <w:t>6,22</w:t>
      </w:r>
      <w:r w:rsidR="00137BDB">
        <w:fldChar w:fldCharType="end"/>
      </w:r>
      <w:r w:rsidR="00137BDB" w:rsidRPr="00E94A5F">
        <w:rPr>
          <w:rFonts w:ascii="Calibri" w:hAnsi="Calibri" w:cs="Calibri"/>
          <w:szCs w:val="24"/>
          <w:vertAlign w:val="superscript"/>
        </w:rPr>
        <w:t>,</w:t>
      </w:r>
      <w:r w:rsidR="00137BDB">
        <w:fldChar w:fldCharType="begin"/>
      </w:r>
      <w:r w:rsidR="009F50B6">
        <w:instrText xml:space="preserve"> ADDIN ZOTERO_ITEM CSL_CITATION {"citationID":"a2o6n4iged0","properties":{"formattedCitation":"{\\rtf \\super 23\\nosupersub{}}","plainCitation":"23"},"citationItems":[{"id":893,"uris":["http://zotero.org/users/2487980/items/9XTV4BFH"],"uri":["http://zotero.org/users/2487980/items/9XTV4BFH"],"itemData":{"id":893,"type":"article-journal","title":"Cross-Scale Morphology, Geometry, and Dynamics of Ecosystems","container-title":"Ecological Monographs","page":"447 - 502","volume":"62","author":[{"family":"Holling","given":"C.S."}],"issued":{"date-parts":[["1992"]]}}}],"schema":"https://github.com/citation-style-language/schema/raw/master/csl-citation.json"} </w:instrText>
      </w:r>
      <w:r w:rsidR="00137BDB">
        <w:fldChar w:fldCharType="separate"/>
      </w:r>
      <w:r w:rsidR="009F50B6" w:rsidRPr="009F50B6">
        <w:rPr>
          <w:rFonts w:ascii="Calibri" w:hAnsi="Calibri" w:cs="Calibri"/>
          <w:szCs w:val="24"/>
          <w:vertAlign w:val="superscript"/>
        </w:rPr>
        <w:t>23</w:t>
      </w:r>
      <w:r w:rsidR="00137BDB">
        <w:fldChar w:fldCharType="end"/>
      </w:r>
      <w:r w:rsidR="00137BDB">
        <w:t xml:space="preserve"> In B</w:t>
      </w:r>
      <w:r w:rsidR="006D3EC3">
        <w:t>.</w:t>
      </w:r>
      <w:r w:rsidR="00137BDB">
        <w:t>C</w:t>
      </w:r>
      <w:r w:rsidR="006D3EC3">
        <w:t>.</w:t>
      </w:r>
      <w:r w:rsidR="00137BDB">
        <w:t xml:space="preserve"> forests, key organizing processes create a range of tree species and stand ages across landscapes, creating a diversity of habitats and accordingly structuring local plant and animal populations. Resilience does not mean that systems survive disturbance, but rather</w:t>
      </w:r>
      <w:r w:rsidR="00321C85">
        <w:t>,</w:t>
      </w:r>
      <w:r w:rsidR="00137BDB">
        <w:t xml:space="preserve"> that they thrive from it; ecological resilience indicates the range of natural disturbance that maintains a system’s adaptive capacity and its tendency to self-organize and persist. </w:t>
      </w:r>
      <w:r w:rsidR="00137BDB">
        <w:fldChar w:fldCharType="begin"/>
      </w:r>
      <w:r w:rsidR="009F50B6">
        <w:instrText xml:space="preserve"> ADDIN ZOTERO_ITEM CSL_CITATION {"citationID":"tfzNbIkh","properties":{"formattedCitation":"{\\rtf \\super 23\\uc0\\u8211{}25\\nosupersub{}}","plainCitation":"23–25"},"citationItems":[{"id":882,"uris":["http://zotero.org/users/2487980/items/CSZIN4RL"],"uri":["http://zotero.org/users/2487980/items/CSZIN4RL"],"itemData":{"id":882,"type":"article-journal","title":"Regime Shifts, Resilience, and Biodiversity in Ecosystem Management","container-title":"Annual Review of Ecology, Evolution, and Systematics","page":"557-581","volume":"35","issue":"1","source":"annualreviews.org (Atypon)","abstract":"We review the evidence of regime shifts in terrestrial and aquatic environments in relation to resilience of complex adaptive ecosystems and the functional roles of biological diversity in this context. The evidence reveals that the likelihood of regime shifts may increase when humans reduce resilience by such actions as removing response diversity, removing whole functional groups of species, or removing whole trophic levels; impacting on ecosystems via emissions of waste and pollutants and climate change; and altering the magnitude, frequency, and duration of disturbance regimes. The combined and often synergistic effects of those pressures can make ecosystems more vulnerable to changes that previously could be absorbed. As a consequence, ecosystems may suddenly shift from desired to less desired states in their capacity to generate ecosystem services. Active adaptive management and governance of resilience will be required to sustain desired ecosystem states and transform degraded ecosystems into fundamentally new and more desirable configurations.","DOI":"10.1146/annurev.ecolsys.35.021103.105711","ISSN":"1543-592X","journalAbbreviation":"Annu. Rev. Ecol. Evol. Syst.","author":[{"family":"Folke","given":"Carl"},{"family":"Carpenter","given":"Steve"},{"family":"Walker","given":"Brian"},{"family":"Scheffer","given":"Marten"},{"family":"Elmqvist","given":"Thomas"},{"family":"Gunderson","given":"Lance"},{"family":"Holling","given":"C.s."}],"issued":{"date-parts":[["2004",11,22]]}}},{"id":888,"uris":["http://zotero.org/users/2487980/items/2CBY9ICP"],"uri":["http://zotero.org/users/2487980/items/2CBY9ICP"],"itemData":{"id":888,"type":"article-journal","title":"Ecological Resilience—In Theory and Application","container-title":"Annual Review of Ecology and Systematics","page":"425-439","volume":"31","issue":"1","source":"Annual Reviews","abstract":"In 1973, C. S. Holling introduced the word resilience into the ecological literature as a way of helping to understand the non-linear dynamics observed in ecosystems. Ecological resilience was defined as the amount of disturbance that an ecosystem could withstand without changing self-organized processes and structures (defined as alternative stable states). Other authors consider resilience as a return time to a stable state following a perturbation. A new term, adaptive capacity, is introduced to describe the processes that modify ecological resilience. Two definitions recognize the presence of multiple stable states (or stability domains), and hence resilience is the property that mediates transition among these states. Transitions among stable states have been described for many ecosystems, including semi-arid rangelands, lakes, coral reefs, and forests. In these systems, ecological resilience is maintained by keystone structuring processes across a number of scales, sources of renewal and reformation, and functional biodiversity. In practice, maintaining a capacity for renewal in a dynamic environment provides an ecological buffer that protects the system from the failure of management actions that are taken based upon incomplete understanding, and it allows managers to affordably learn and change.","DOI":"10.1146/annurev.ecolsys.31.1.425","author":[{"family":"Gunderson","given":"Lance H."}],"issued":{"date-parts":[["2000"]]}}},{"id":893,"uris":["http://zotero.org/users/2487980/items/9XTV4BFH"],"uri":["http://zotero.org/users/2487980/items/9XTV4BFH"],"itemData":{"id":893,"type":"article-journal","title":"Cross-Scale Morphology, Geometry, and Dynamics of Ecosystems","container-title":"Ecological Monographs","page":"447 - 502","volume":"62","author":[{"family":"Holling","given":"C.S."}],"issued":{"date-parts":[["1992"]]}}}],"schema":"https://github.com/citation-style-language/schema/raw/master/csl-citation.json"} </w:instrText>
      </w:r>
      <w:r w:rsidR="00137BDB">
        <w:fldChar w:fldCharType="separate"/>
      </w:r>
      <w:r w:rsidR="009F50B6" w:rsidRPr="009F50B6">
        <w:rPr>
          <w:rFonts w:ascii="Calibri" w:hAnsi="Calibri" w:cs="Calibri"/>
          <w:szCs w:val="24"/>
          <w:vertAlign w:val="superscript"/>
        </w:rPr>
        <w:t>23–25</w:t>
      </w:r>
      <w:r w:rsidR="00137BDB">
        <w:fldChar w:fldCharType="end"/>
      </w:r>
      <w:r w:rsidR="00137BDB">
        <w:t xml:space="preserve"> Ecological resilience (and </w:t>
      </w:r>
      <w:r w:rsidR="006D3EC3">
        <w:t>ecological thresholds, or ‘</w:t>
      </w:r>
      <w:r w:rsidR="00137BDB">
        <w:t>non-linear change dynamics</w:t>
      </w:r>
      <w:r w:rsidR="006D3EC3">
        <w:t>’</w:t>
      </w:r>
      <w:r w:rsidR="00FE7EA8">
        <w:t>;</w:t>
      </w:r>
      <w:r w:rsidR="00137BDB">
        <w:t xml:space="preserve"> see Box </w:t>
      </w:r>
      <w:r w:rsidR="00E7106B">
        <w:t>2</w:t>
      </w:r>
      <w:r w:rsidR="00137BDB">
        <w:fldChar w:fldCharType="begin"/>
      </w:r>
      <w:r w:rsidR="009F50B6">
        <w:instrText xml:space="preserve"> ADDIN ZOTERO_ITEM CSL_CITATION {"citationID":"TjhAhJtS","properties":{"formattedCitation":"{\\rtf \\super 26\\uc0\\u8211{}28\\nosupersub{}}","plainCitation":"26–28"},"citationItems":[{"id":910,"uris":["http://zotero.org/users/2487980/items/VRH6H2CC"],"uri":["http://zotero.org/users/2487980/items/VRH6H2CC"],"itemData":{"id":910,"type":"article-journal","title":"Catastrophic shifts in ecosystems","container-title":"Nature","page":"35098000","volume":"413","issue":"6856","source":"www.nature.com","abstract":"Review","DOI":"10.1038/35098000","ISSN":"1476-4687","language":"en","author":[{"family":"Scheffer","given":"Marten"},{"family":"Carpenter","given":"Steve"},{"family":"Foley","given":"Jonathan A."},{"family":"Folke","given":"Carl"},{"family":"Walker","given":"Brian"}],"issued":{"date-parts":[["2001",10,11]]}}},{"id":912,"uris":["http://zotero.org/users/2487980/items/JPQ6MNU6"],"uri":["http://zotero.org/users/2487980/items/JPQ6MNU6"],"itemData":{"id":912,"type":"article-journal","title":"Catastrophic regime shifts in ecosystems: linking theory to observation","container-title":"Trends in Ecology &amp; Evolution","page":"648-656","volume":"18","issue":"12","source":"ScienceDirect","abstract":"Occasionally, surprisingly large shifts occur in ecosystems. Theory suggests that such shifts can be attributed to alternative stable states. Verifying this diagnosis is important because it implies a radically different view on management options, and on the potential effects of global change on such ecosystems. For instance, it implies that gradual changes in temperature or other factors might have little effect until a threshold is reached at which a large shift occurs that might be difficult to reverse. Strategies to assess whether alternative stable states are present are now converging in fields as disparate as desertification, limnology, oceanography and climatology. Here, we review emerging ways to link theory to observation, and conclude that although, field observations can provide hints of alternative stable states, experiments and models are essential for a good diagnosis.","DOI":"10.1016/j.tree.2003.09.002","ISSN":"0169-5347","shortTitle":"Catastrophic regime shifts in ecosystems","journalAbbreviation":"Trends in Ecology &amp; Evolution","author":[{"family":"Scheffer","given":"Marten"},{"family":"Carpenter","given":"Stephen R."}],"issued":{"date-parts":[["2003",12,1]]}}},{"id":716,"uris":["http://zotero.org/users/2487980/items/2UHGA8AN"],"uri":["http://zotero.org/users/2487980/items/2UHGA8AN"],"itemData":{"id":716,"type":"article-journal","title":"Disturbance interactions can impact resilience mechanisms of forests","container-title":"Ecosphere","page":"1-13","volume":"2","issue":"5","source":"Wiley Online Library","abstract":"Interactions between multiple disturbances are of special concern in ecology due to their potential for non-linear behavior and long-lasting legacies on landscape structure and function. If multiple disturbances overcome the ecological resilience of a system, alternate stable states are possible. Increases in the frequency and severity of disturbance events as a result of climate change heighten this concern. This study directly addresses the question of ecosystem resilience in the face of multiple disturbances. We investigated a gradient of disturbance interaction severities between two events in a subalpine forest, a 1997 windstorm (variable severity) and a 2002 wildfire (high-severity). A third disturbance, salvage logging of blowdown (1999–2001) prior to the fire, served as a de facto experimental treatment. Ninety-nine study plots were established across the disturbance gradient, including fire-only areas for a baseline fire response. Modeling indicated that the combination of two severe disturbances created novel conditions which exceeded the resilience mechanisms of the system. Modeled mean fire residence time and temperature (First Order Fire Effects Model, FOFEM), as well as mean distance to potential seed sources, increased as a result of the interaction. Regeneration 8 years post-fire was essentially absent in medium- to high-severity blowdown + fire plots, whereas low-severity blowdown + fire and fire-only areas showed strong regeneration. Blowdown + salvage + fire had significantly higher regeneration than areas of comparable blowdown, suggesting that fuel loading drove the interaction. CART analysis supported this hypothesis. Multiple disturbances have the potential to create surprising situations and reduce the resilience of an ecosystem. Differential recovery as a result of a “novel disturbance” created by compounding events will likely have long lasting legacies across the landscape.","DOI":"10.1890/ES11-00038.1","ISSN":"2150-8925","language":"en","author":[{"family":"Buma","given":"B."},{"family":"Wessman","given":"C. A."}],"issued":{"date-parts":[["2011",5,1]]}}}],"schema":"https://github.com/citation-style-language/schema/raw/master/csl-citation.json"} </w:instrText>
      </w:r>
      <w:r w:rsidR="00137BDB">
        <w:fldChar w:fldCharType="separate"/>
      </w:r>
      <w:r w:rsidR="009F50B6" w:rsidRPr="009F50B6">
        <w:rPr>
          <w:rFonts w:ascii="Calibri" w:hAnsi="Calibri" w:cs="Calibri"/>
          <w:szCs w:val="24"/>
          <w:vertAlign w:val="superscript"/>
        </w:rPr>
        <w:t>26–</w:t>
      </w:r>
      <w:r w:rsidR="00137BDB">
        <w:fldChar w:fldCharType="end"/>
      </w:r>
      <w:r w:rsidR="00137BDB">
        <w:fldChar w:fldCharType="begin"/>
      </w:r>
      <w:r w:rsidR="009F50B6">
        <w:instrText xml:space="preserve"> ADDIN ZOTERO_ITEM CSL_CITATION {"citationID":"a14o4ju5gn8","properties":{"formattedCitation":"{\\rtf \\super 29\\nosupersub{}}","plainCitation":"29"},"citationItems":[{"id":941,"uris":["http://zotero.org/users/2487980/items/J5NHHFS4"],"uri":["http://zotero.org/users/2487980/items/J5NHHFS4"],"itemData":{"id":941,"type":"article-journal","title":"Thresholds in Ecological and Social–Ecological Systems: a Developing Database","container-title":"Ecology and Society","volume":"9","issue":"2","source":"www.ecologyandsociety.org","abstract":"Walker, B. and J. A. Meyers 2004. Thresholds in ecological and social–ecological systems: a developing database. Ecology and Society 9(2): 3. https://doi.org/10.5751/ES-00664-090203","URL":"https://www.ecologyandsociety.org/vol9/iss2/art3/","DOI":"10.5751/ES-00664-090203","ISSN":"1708-3087","shortTitle":"Thresholds in Ecological and Social–Ecological Systems","language":"en","author":[{"family":"Walker","given":"Brian"},{"family":"Meyers","given":"Jacqueline"}],"issued":{"date-parts":[["2004",7,22]]},"accessed":{"date-parts":[["2017",11,20]]}}}],"schema":"https://github.com/citation-style-language/schema/raw/master/csl-citation.json"} </w:instrText>
      </w:r>
      <w:r w:rsidR="00137BDB">
        <w:fldChar w:fldCharType="separate"/>
      </w:r>
      <w:r w:rsidR="009F50B6" w:rsidRPr="009F50B6">
        <w:rPr>
          <w:rFonts w:ascii="Calibri" w:hAnsi="Calibri" w:cs="Calibri"/>
          <w:szCs w:val="24"/>
          <w:vertAlign w:val="superscript"/>
        </w:rPr>
        <w:t>29</w:t>
      </w:r>
      <w:r w:rsidR="00137BDB">
        <w:fldChar w:fldCharType="end"/>
      </w:r>
      <w:r w:rsidR="00137BDB">
        <w:t xml:space="preserve">), has emerged as the predominant framework for understanding disturbance ecology, with literature notably arising from study of the forests of western North America. </w:t>
      </w:r>
      <w:r w:rsidR="00137BDB">
        <w:fldChar w:fldCharType="begin"/>
      </w:r>
      <w:r w:rsidR="009F50B6">
        <w:instrText xml:space="preserve"> ADDIN ZOTERO_ITEM CSL_CITATION {"citationID":"PTk8ZHlm","properties":{"formattedCitation":"{\\rtf \\super 30\\uc0\\u8211{}33\\nosupersub{}}","plainCitation":"30–33"},"citationItems":[{"id":899,"uris":["http://zotero.org/users/2487980/items/YKKSHFCY"],"uri":["http://zotero.org/users/2487980/items/YKKSHFCY"],"itemData":{"id":899,"type":"article-journal","title":"Dealing with Non-linearity and Uncertainty in Forest Management","container-title":"Current Forestry Reports","page":"150-161","volume":"2","issue":"2","source":"link.springer.com","abstract":"Forest managers today are struggling with the great uncertainties and rapid changes in many biophysical and socioeconomic aspects of their work. We argue in this review that viewing forests and forest management as complex adaptive systems and acknowledging non-linearity and uncertainty in forest dynamics and management provide an alternative for both production- and conservation-oriented forests to the traditional command and control approaches that have been advocated so far in forestry. We first discuss the concepts of non-linearity and uncertainty in forest dynamics and management. We then propose a set of broad principles and approaches that are required for forest managers to better incorporate these new concepts into practices. These span from (1) relaxing and expanding the sustained-yield and single-good paradigm, (2) moving the target for assessing success in silviculture from predetermined strict outcomes for each and every stand to an envelope of possible outcomes that are acceptable for one or multiple stands, and (3) using approaches and modeling tools to assess as large a range of possible outcomes as possible instead of the traditional mainly deterministic and static modeling tools.","DOI":"10.1007/s40725-016-0036-x","ISSN":"2198-6436","journalAbbreviation":"Curr Forestry Rep","language":"en","author":[{"family":"Messier","given":"Christian"},{"family":"Puettmann","given":"Klaus"},{"family":"Filotas","given":"Elise"},{"family":"Coates","given":"Dave"}],"issued":{"date-parts":[["2016",6,1]]}}},{"id":916,"uris":["http://zotero.org/users/2487980/items/B6N25LRC"],"uri":["http://zotero.org/users/2487980/items/B6N25LRC"],"itemData":{"id":916,"type":"article-journal","title":"Searching for resilience: addressing the impacts of changing disturbance regimes on forest ecosystem services","container-title":"Journal of Applied Ecology","page":"120-129","volume":"53","issue":"1","source":"Wiley Online Library","abstract":"* The provisioning of ecosystem services to society is increasingly under pressure from global change. Changing disturbance regimes are of particular concern in this context due to their high potential impact on ecosystem structure, function and composition. Resilience-based stewardship is advocated to address these changes in ecosystem management, but its operational implementation has remained challenging.\n\n\n* We review observed and expected changes in disturbance regimes and their potential impacts on provisioning, regulating, cultural and supporting ecosystem services, concentrating on temperate and boreal forests. Subsequently, we focus on resilience as a powerful concept to quantify and address these changes and their impacts, and present an approach towards its operational application using established methods from disturbance ecology.\n\n\n* We suggest using the range of variability concept – characterizing and bounding the long-term behaviour of ecosystems – to locate and delineate the basins of attraction of a system. System recovery in relation to its range of variability can be used to measure resilience of ecosystems, allowing inferences on both engineering resilience (recovery rate) and monitoring for regime shifts (directionality of recovery trajectory).\n\n\n* It is important to consider the dynamic nature of these properties in ecosystem analysis and management decision-making, as both disturbance processes and mechanisms of resilience will be subject to changes in the future. Furthermore, because ecosystem services are at the interface between natural and human systems, the social dimension of resilience (social adaptive capacity and range of variability) requires consideration in responding to changing disturbance regimes in forests.\n\n\n* Synthesis and applications. Based on examples from temperate and boreal forests we synthesize principles and pathways for fostering resilience to changing disturbance regimes in ecosystem management. We conclude that future work should focus on testing and implementing these pathways in different contexts to make ecosystem services provisioning more robust to changing disturbance regimes and advance our understanding of how to cope with change and uncertainty in ecosystem management.","DOI":"10.1111/1365-2664.12511","ISSN":"1365-2664","shortTitle":"REVIEW","journalAbbreviation":"J Appl Ecol","language":"en","author":[{"family":"Seidl","given":"Rupert"},{"family":"Spies","given":"Thomas A."},{"family":"Peterson","given":"David L."},{"family":"Stephens","given":"Scott L."},{"family":"Hicke","given":"Jeffrey A."}],"issued":{"date-parts":[["2016",2,1]]}}},{"id":922,"uris":["http://zotero.org/users/2487980/items/HSFV7NW9"],"uri":["http://zotero.org/users/2487980/items/HSFV7NW9"],"itemData":{"id":922,"type":"article-journal","title":"Disturbance and landscape dynamics in a changing world1","container-title":"Ecology","page":"2833-2849","volume":"91","issue":"10","source":"Wiley Online Library","abstract":"Disturbance regimes are changing rapidly, and the consequences of such changes for ecosystems and linked social-ecological systems will be profound. This paper synthesizes current understanding of disturbance with an emphasis on fundamental contributions to contemporary landscape and ecosystem ecology, then identifies future research priorities. Studies of disturbance led to insights about heterogeneity, scale, and thresholds in space and time and catalyzed new paradigms in ecology. Because they create vegetation patterns, disturbances also establish spatial patterns of many ecosystem processes on the landscape. Drivers of global change will produce new spatial patterns, altered disturbance regimes, novel trajectories of change, and surprises. Future disturbances will continue to provide valuable opportunities for studying pattern–process interactions. Changing disturbance regimes will produce acute changes in ecosystems and ecosystem services over the short (years to decades) and long term (centuries and beyond). Future research should address questions related to (1) disturbances as catalysts of rapid ecological change, (2) interactions among disturbances, (3) relationships between disturbance and society, especially the intersection of land use and disturbance, and (4) feedbacks from disturbance to other global drivers. Ecologists should make a renewed and concerted effort to understand and anticipate the causes and consequences of changing disturbance regimes. \n\n\n\n\n\n\n\nMonica G. Turner, MacArthur Award Recipient, 2008","DOI":"10.1890/10-0097.1","ISSN":"1939-9170","language":"en","author":[{"family":"Turner","given":"Monica G."}],"issued":{"date-parts":[["2010",10,1]]}}},{"id":924,"uris":["http://zotero.org/users/2487980/items/LCTCTL73"],"uri":["http://zotero.org/users/2487980/items/LCTCTL73"],"itemData":{"id":924,"type":"chapter","title":"Disturbance Biogeography","container-title":"The International Encyclopedia of Geography","page":"1 - 13","author":[{"family":"Veblen","given":"Thomas T."}],"issued":{"date-parts":[["2017"]]}}}],"schema":"https://github.com/citation-style-language/schema/raw/master/csl-citation.json"} </w:instrText>
      </w:r>
      <w:r w:rsidR="00137BDB">
        <w:fldChar w:fldCharType="separate"/>
      </w:r>
      <w:r w:rsidR="009F50B6" w:rsidRPr="009F50B6">
        <w:rPr>
          <w:rFonts w:ascii="Calibri" w:hAnsi="Calibri" w:cs="Calibri"/>
          <w:szCs w:val="24"/>
          <w:vertAlign w:val="superscript"/>
        </w:rPr>
        <w:t>30–33</w:t>
      </w:r>
      <w:r w:rsidR="00137BDB">
        <w:fldChar w:fldCharType="end"/>
      </w:r>
    </w:p>
    <w:p w14:paraId="73B0A0B8" w14:textId="464E7D2E" w:rsidR="00137BDB" w:rsidRDefault="00137BDB" w:rsidP="00137BDB">
      <w:pPr>
        <w:jc w:val="both"/>
      </w:pPr>
      <w:r>
        <w:t xml:space="preserve">Thresholds in the range of natural variability (Box </w:t>
      </w:r>
      <w:r w:rsidR="00E7106B">
        <w:t>2</w:t>
      </w:r>
      <w:r>
        <w:t xml:space="preserve">) can accordingly be used to identify changes that may significantly affect the provisioning of ecosystem services. Disturbance thresholds are relevant </w:t>
      </w:r>
      <w:r w:rsidR="00174E8A">
        <w:t xml:space="preserve">for three reasons. First, </w:t>
      </w:r>
      <w:r>
        <w:t>because ec</w:t>
      </w:r>
      <w:r w:rsidRPr="001C4256">
        <w:t>osystems may respond differently to large</w:t>
      </w:r>
      <w:r>
        <w:t>,</w:t>
      </w:r>
      <w:r w:rsidRPr="001C4256">
        <w:t xml:space="preserve"> infrequent disturbances than they do to smaller, more frequent disturbance of the same type</w:t>
      </w:r>
      <w:r>
        <w:t>.</w:t>
      </w:r>
      <w:r>
        <w:fldChar w:fldCharType="begin"/>
      </w:r>
      <w:r w:rsidR="009F50B6">
        <w:instrText xml:space="preserve"> ADDIN ZOTERO_ITEM CSL_CITATION {"citationID":"8p5gI0Pi","properties":{"formattedCitation":"{\\rtf \\super 34,35\\nosupersub{}}","plainCitation":"34,35"},"citationItems":[{"id":741,"uris":["http://zotero.org/users/2487980/items/F5XFXFRG"],"uri":["http://zotero.org/users/2487980/items/F5XFXFRG"],"itemData":{"id":741,"type":"article-journal","title":"Are Large, Infrequent Disturbances Qualitatively Different from Small, Frequent Disturbances?","container-title":"Ecosystems","page":"524-534","volume":"1","issue":"6","source":"link.springer.com","abstract":"ABSTRACT In this article, we develop a heuristic model of ecosystem-disturbance dynamics that illustrates a range of responses of disturbance impact to gradients of increasing disturbance extent, intensity, or duration. Three general kinds of response are identified and illustrated: (a) threshold response, (b) scale-independent response, and (c) continuous response. Threshold responses are those in which the response curve shows a discontinuity or a sudden change in slope along the axis of increasing disturbance extent, intensity, or duration. The response threshold occurs at a point where the force of the disturbance exceeds the capacity of internal mechanisms to resist disturbance, or where new mechanisms of recovery become involved. Within this conceptual framework, we find that some unusually large or intense disturbances, but not all, produce qualitatively different responses compared with similar disturbances of lesser magnitude. If disturbance impact does not increase with increasing disturbance extent, intensity, or duration, or if the response curve changes monotonically, then large disturbances are not qualitatively different from small ones. For example, jack pine tends to become reestablished after stand-replacing fire in boreal forests, regardless of fire size, because its serotinous cones provide an adequate seed source throughout the burned area. Thus, large fires are not qualitatively different from small fires in terms of jack pine reproduction. However, if disturbance impact does increase abruptly at some point with increasing disturbance extent, intensity, or duration, often because of thresholds in the capacity of internal mechanisms to resist or respond to disturbance impact, then large disturbances are qualitatively different from small ones, at least for some parameters of ecological response. For example, balsam fir and white cedar can recolonize a small burned patch of boreal forest in close proximity to surviving individuals of these species, but they will be eliminated from a large burn because of their susceptibility to fire-caused mortality and their inability to disperse their seeds over long distances. The conceptual framework presented here permits some new insights into the dynamics of natural systems and may provide a useful tool with which managers can assess the potential for catastrophic damages resulting from large, infrequent disturbances.","DOI":"10.1007/s100219900048","ISSN":"1432-9840","journalAbbreviation":"Ecosystems","language":"en","author":[{"family":"Romme","given":"William H."},{"family":"Everham","given":"Edwin H."},{"family":"Frelich","given":"Lee E."},{"family":"Moritz","given":"Max A."},{"family":"Sparks","given":"Richard E."}],"issued":{"date-parts":[["1998",11,1]]}}},{"id":738,"uris":["http://zotero.org/users/2487980/items/PMRAVBHZ"],"uri":["http://zotero.org/users/2487980/items/PMRAVBHZ"],"itemData":{"id":738,"type":"article-journal","title":"Factors Influencing Succession: Lessons from Large, Infrequent Natural Disturbances","container-title":"Ecosystems","page":"511-523","volume":"1","issue":"6","source":"link.springer.com","abstract":"ABSTRACT Disturbance events vary in intensity, size, and frequency, but few opportunities exist to study those that are extreme on more than one of these gradients. This article characterizes successional processes that occur following infrequent disturbance events that are exceptional in their great intensity or large size. The spatial variability in disturbance intensity within large, infrequent disturbances (LIDs) often leads to a heterogeneous pattern of surviving organisms. These surviving organisms dictate much of the initial successional pattern on large disturbances where the opportunities for seeds to disperse into the middle of the disturbance are limited. The traditional distinction between primary and secondary succession is insufficient to capture the tremendous variability in succession following LIDs. Disturbance size influences succession where long-distance colonization by propagules is important. Observations from LIDs suggest the following interrelated hypotheses about trends in succession with increasing distance from seed sources when disturbanceintensity is high: (a) initial densities of organisms will be lower; (b) nucleation processes, in which recovering patches serve as foci for additional colonization and expand spatially, will be more important; (c) competitive sorting will be less important relative to chance arrival in determination of community composition, and (d) community composition will be initially less predictable; and (e) the rate of recovery of community composition will be slower. Prediction of succession following LIDs without considering contingencies such as the abundance, types, and spatial distribution of residuals, and distance to seed sources is likely to be unsuccessful for large portions of the landscape. Abundance and spatial arrangement of survivors and arrival patterns of propagules may be the pivotal factors determining how succession differs between intense disturbances of large and small extent.","DOI":"10.1007/s100219900047","ISSN":"1432-9840","shortTitle":"Factors Influencing Succession","journalAbbreviation":"Ecosystems","language":"en","author":[{"family":"Turner","given":"Monica G."},{"family":"Baker","given":"William L."},{"family":"Peterson","given":"Christopher J."},{"family":"Peet","given":"Robert K."}],"issued":{"date-parts":[["1998",11,1]]}}}],"schema":"https://github.com/citation-style-language/schema/raw/master/csl-citation.json"} </w:instrText>
      </w:r>
      <w:r>
        <w:fldChar w:fldCharType="separate"/>
      </w:r>
      <w:r w:rsidR="009F50B6" w:rsidRPr="009F50B6">
        <w:rPr>
          <w:rFonts w:ascii="Calibri" w:hAnsi="Calibri" w:cs="Calibri"/>
          <w:szCs w:val="24"/>
          <w:vertAlign w:val="superscript"/>
        </w:rPr>
        <w:t>34,35</w:t>
      </w:r>
      <w:r>
        <w:fldChar w:fldCharType="end"/>
      </w:r>
      <w:r w:rsidRPr="001C4256">
        <w:t xml:space="preserve"> This implies that disturbance effects </w:t>
      </w:r>
      <w:r w:rsidR="00693CAC">
        <w:t xml:space="preserve">on recovery </w:t>
      </w:r>
      <w:r w:rsidRPr="001C4256">
        <w:t xml:space="preserve">that are relatively benign at </w:t>
      </w:r>
      <w:r w:rsidR="006D7425">
        <w:t>finer</w:t>
      </w:r>
      <w:r w:rsidR="006D7425" w:rsidRPr="001C4256">
        <w:t xml:space="preserve"> </w:t>
      </w:r>
      <w:r w:rsidRPr="001C4256">
        <w:t xml:space="preserve">scales can be problematic for ecosystem functioning if they are widespread over </w:t>
      </w:r>
      <w:r w:rsidR="006D7425">
        <w:t>coarser</w:t>
      </w:r>
      <w:r w:rsidR="006D7425" w:rsidRPr="001C4256">
        <w:t xml:space="preserve"> </w:t>
      </w:r>
      <w:r w:rsidRPr="001C4256">
        <w:t>scales. For example, the removal or destruction of seed sources, if it exceeds the dispersal capacity of the species, can change local or regional vegetation composition</w:t>
      </w:r>
      <w:r>
        <w:t>.</w:t>
      </w:r>
      <w:r>
        <w:fldChar w:fldCharType="begin"/>
      </w:r>
      <w:r w:rsidR="009F50B6">
        <w:instrText xml:space="preserve"> ADDIN ZOTERO_ITEM CSL_CITATION {"citationID":"1dTdInkp","properties":{"formattedCitation":"{\\rtf \\super 28\\nosupersub{}}","plainCitation":"28"},"citationItems":[{"id":716,"uris":["http://zotero.org/users/2487980/items/2UHGA8AN"],"uri":["http://zotero.org/users/2487980/items/2UHGA8AN"],"itemData":{"id":716,"type":"article-journal","title":"Disturbance interactions can impact resilience mechanisms of forests","container-title":"Ecosphere","page":"1-13","volume":"2","issue":"5","source":"Wiley Online Library","abstract":"Interactions between multiple disturbances are of special concern in ecology due to their potential for non-linear behavior and long-lasting legacies on landscape structure and function. If multiple disturbances overcome the ecological resilience of a system, alternate stable states are possible. Increases in the frequency and severity of disturbance events as a result of climate change heighten this concern. This study directly addresses the question of ecosystem resilience in the face of multiple disturbances. We investigated a gradient of disturbance interaction severities between two events in a subalpine forest, a 1997 windstorm (variable severity) and a 2002 wildfire (high-severity). A third disturbance, salvage logging of blowdown (1999–2001) prior to the fire, served as a de facto experimental treatment. Ninety-nine study plots were established across the disturbance gradient, including fire-only areas for a baseline fire response. Modeling indicated that the combination of two severe disturbances created novel conditions which exceeded the resilience mechanisms of the system. Modeled mean fire residence time and temperature (First Order Fire Effects Model, FOFEM), as well as mean distance to potential seed sources, increased as a result of the interaction. Regeneration 8 years post-fire was essentially absent in medium- to high-severity blowdown + fire plots, whereas low-severity blowdown + fire and fire-only areas showed strong regeneration. Blowdown + salvage + fire had significantly higher regeneration than areas of comparable blowdown, suggesting that fuel loading drove the interaction. CART analysis supported this hypothesis. Multiple disturbances have the potential to create surprising situations and reduce the resilience of an ecosystem. Differential recovery as a result of a “novel disturbance” created by compounding events will likely have long lasting legacies across the landscape.","DOI":"10.1890/ES11-00038.1","ISSN":"2150-8925","language":"en","author":[{"family":"Buma","given":"B."},{"family":"Wessman","given":"C. A."}],"issued":{"date-parts":[["2011",5,1]]}}}],"schema":"https://github.com/citation-style-language/schema/raw/master/csl-citation.json"} </w:instrText>
      </w:r>
      <w:r>
        <w:fldChar w:fldCharType="separate"/>
      </w:r>
      <w:r w:rsidR="009F50B6" w:rsidRPr="009F50B6">
        <w:rPr>
          <w:rFonts w:ascii="Calibri" w:hAnsi="Calibri" w:cs="Calibri"/>
          <w:szCs w:val="24"/>
          <w:vertAlign w:val="superscript"/>
        </w:rPr>
        <w:t>28</w:t>
      </w:r>
      <w:r>
        <w:fldChar w:fldCharType="end"/>
      </w:r>
      <w:r w:rsidRPr="001C4256">
        <w:rPr>
          <w:vertAlign w:val="superscript"/>
        </w:rPr>
        <w:t>,</w:t>
      </w:r>
      <w:r>
        <w:fldChar w:fldCharType="begin"/>
      </w:r>
      <w:r w:rsidR="009F50B6">
        <w:instrText xml:space="preserve"> ADDIN ZOTERO_ITEM CSL_CITATION {"citationID":"a26q0mlkiv8","properties":{"formattedCitation":"{\\rtf \\super 36\\nosupersub{}}","plainCitation":"36"},"citationItems":[{"id":930,"uris":["http://zotero.org/users/2487980/items/NKGFJSIF"],"uri":["http://zotero.org/users/2487980/items/NKGFJSIF"],"itemData":{"id":930,"type":"article-journal","title":"Can forest management based on natural disturbances maintain ecological resilience?","container-title":"Canadian Journal of Forest Research","page":"2285-2299","volume":"36","issue":"9","source":"NRC Research Press","abstract":"Given the increasingly global stresses on forests, many ecologists argue that managers must maintain ecological resilience: the capacity of ecosystems to absorb disturbances without undergoing fundamental change. In this review we ask: Can the emerging paradigm of natural-disturbance-based management (NDBM) maintain ecological resilience in managed forests? Applying resilience theory requires careful articulation of the ecosystem state under consideration, the disturbances and stresses that affect the persistence of possible alternative states, and the spatial and temporal scales of management relevance. Implementing NDBM while maintaining resilience means recognizing that (i) biodiversity is important for long-term ecosystem persistence, (ii) natural disturbances play a critical role as a generator of structural and compositional heterogeneity at multiple scales, and (iii) traditional management tends to produce forests more homogeneous than those disturbed naturally and increases the likelihood of unexp..., Étant donné l'augmentation globale des stress dans les forêts, plusieurs écologistes croient que les gestionnaires doivent maintenir la résilience écologique, c'est-à-dire la capacité des écosystèmes à absorber les perturbations sans subir de changements importants. Dans cette revue, nous nous demandons si le nouveau paradigme de l'aménagement basé sur les perturbations naturelles peut maintenir la résilience écologique dans les forêts aménagées? L'application de la théorie de la résilience exige une articulation minutieuse de l'état de l'écosystème considéré, des perturbations et des stress qui affectent la persistance d'états alternatifs potentiels ainsi que les échelles spatiales et temporelles de la pertinence de l'aménagement. L'application de l'aménagement basé sur les perturbations naturelles, tout en maintenant la résilience, oblige à reconnaître que (i) la biodiversité est importante pour la persistance à long terme de l'écosystème, (ii) les perturbations naturelles jouent un rôle crucial dans la...","DOI":"10.1139/x06-132","ISSN":"0045-5067","journalAbbreviation":"Can. J. For. Res.","author":[{"family":"Drever","given":"C Ronnie"},{"family":"Peterson","given":"Garry"},{"family":"Messier","given":"Christian"},{"family":"Bergeron","given":"Yves"},{"family":"Flannigan","given":"Mike"}],"issued":{"date-parts":[["2006",9,1]]}}}],"schema":"https://github.com/citation-style-language/schema/raw/master/csl-citation.json"} </w:instrText>
      </w:r>
      <w:r>
        <w:fldChar w:fldCharType="separate"/>
      </w:r>
      <w:r w:rsidR="009F50B6" w:rsidRPr="009F50B6">
        <w:rPr>
          <w:rFonts w:ascii="Calibri" w:hAnsi="Calibri" w:cs="Calibri"/>
          <w:szCs w:val="24"/>
          <w:vertAlign w:val="superscript"/>
        </w:rPr>
        <w:t>36</w:t>
      </w:r>
      <w:r>
        <w:fldChar w:fldCharType="end"/>
      </w:r>
      <w:r w:rsidRPr="001C4256">
        <w:t xml:space="preserve"> </w:t>
      </w:r>
      <w:r w:rsidR="006D7425">
        <w:t xml:space="preserve">Habitat losses that can be temporarily tolerated at finer scales (i.e., habitat </w:t>
      </w:r>
      <w:r w:rsidR="00174E8A">
        <w:t>‘’</w:t>
      </w:r>
      <w:r w:rsidR="006D7425">
        <w:t>sinks</w:t>
      </w:r>
      <w:r w:rsidR="00174E8A">
        <w:t>”</w:t>
      </w:r>
      <w:r w:rsidR="006D7425">
        <w:t xml:space="preserve">) can cause threshold effects on </w:t>
      </w:r>
      <w:r w:rsidR="006C26EC">
        <w:t xml:space="preserve">populations (e.g., rapid declines) </w:t>
      </w:r>
      <w:r w:rsidR="006D7425">
        <w:t>at landscape levels if sink habitat is widespread</w:t>
      </w:r>
      <w:r w:rsidR="00CA0DA7">
        <w:t>.</w:t>
      </w:r>
      <w:r w:rsidR="006D7425" w:rsidRPr="00EB3039">
        <w:fldChar w:fldCharType="begin"/>
      </w:r>
      <w:r w:rsidR="009F50B6">
        <w:instrText xml:space="preserve"> ADDIN ZOTERO_ITEM CSL_CITATION {"citationID":"aj42bms8ts","properties":{"formattedCitation":"{\\rtf \\super 37\\nosupersub{}}","plainCitation":"37"},"citationItems":[{"id":935,"uris":["http://zotero.org/users/2487980/items/GAV69CPB"],"uri":["http://zotero.org/users/2487980/items/GAV69CPB"],"itemData":{"id":935,"type":"report","title":"Thresholds in habitat supply: A review of the literature","publisher":"Ministry of Water, Land and Air Protection","publisher-place":"Victoria BC","page":"117","genre":"Wildlife Report","event-place":"Victoria BC","URL":"https://www.for.gov.bc.ca/tasb/slrp/citbc/b-Thresh-Dykstra-Sep04.pdf","number":"r-27","author":[{"family":"Dykstra","given":"Pamela"}],"issued":{"date-parts":[["2004"]]},"accessed":{"date-parts":[["2017",11,20]]}}}],"schema":"https://github.com/citation-style-language/schema/raw/master/csl-citation.json"} </w:instrText>
      </w:r>
      <w:r w:rsidR="006D7425" w:rsidRPr="00EB3039">
        <w:fldChar w:fldCharType="separate"/>
      </w:r>
      <w:r w:rsidR="009F50B6" w:rsidRPr="009F50B6">
        <w:rPr>
          <w:rFonts w:ascii="Calibri" w:hAnsi="Calibri" w:cs="Calibri"/>
          <w:szCs w:val="24"/>
          <w:vertAlign w:val="superscript"/>
        </w:rPr>
        <w:t>37</w:t>
      </w:r>
      <w:r w:rsidR="006D7425" w:rsidRPr="00EB3039">
        <w:fldChar w:fldCharType="end"/>
      </w:r>
      <w:r w:rsidR="00CA0DA7">
        <w:t xml:space="preserve"> </w:t>
      </w:r>
    </w:p>
    <w:p w14:paraId="13204BA6" w14:textId="25172B63" w:rsidR="00174E8A" w:rsidRDefault="00174E8A" w:rsidP="00137BDB">
      <w:pPr>
        <w:jc w:val="both"/>
      </w:pPr>
      <w:r>
        <w:t>Secondly</w:t>
      </w:r>
      <w:r w:rsidR="009D2551">
        <w:t>, because habitat is structured by the range of natural variability in disturbance regimes at stand and landscape scales, and species have evolved within these regimes, exceeding thresholds in the rate</w:t>
      </w:r>
      <w:r w:rsidR="00CE4115">
        <w:t>, extent</w:t>
      </w:r>
      <w:r w:rsidR="009D2551">
        <w:t xml:space="preserve"> or severity of disturbance can </w:t>
      </w:r>
      <w:r w:rsidR="00CE4115">
        <w:t>result in</w:t>
      </w:r>
      <w:r w:rsidR="00635B65">
        <w:t xml:space="preserve"> threshold e</w:t>
      </w:r>
      <w:r w:rsidR="009D2551">
        <w:t>ffect</w:t>
      </w:r>
      <w:r w:rsidR="00635B65">
        <w:t>s</w:t>
      </w:r>
      <w:r w:rsidR="009D2551">
        <w:t xml:space="preserve"> </w:t>
      </w:r>
      <w:r w:rsidR="00635B65">
        <w:t xml:space="preserve">on individual </w:t>
      </w:r>
      <w:r w:rsidR="009D2551">
        <w:t>species</w:t>
      </w:r>
      <w:r w:rsidR="00635B65">
        <w:t>,</w:t>
      </w:r>
      <w:r w:rsidR="009D2551">
        <w:t xml:space="preserve"> through loss </w:t>
      </w:r>
      <w:r w:rsidR="009D2551">
        <w:lastRenderedPageBreak/>
        <w:t>or alteration of habitat</w:t>
      </w:r>
      <w:r w:rsidR="00635B65">
        <w:t xml:space="preserve">, if their minimum requirements for habitat </w:t>
      </w:r>
      <w:r w:rsidR="00CE4115">
        <w:t xml:space="preserve">amount, connectivity, or quality </w:t>
      </w:r>
      <w:r w:rsidR="00635B65">
        <w:t>are no longer met</w:t>
      </w:r>
      <w:r w:rsidR="009D2551">
        <w:t>.</w:t>
      </w:r>
      <w:r w:rsidR="00CE4115" w:rsidRPr="00EB3039">
        <w:fldChar w:fldCharType="begin"/>
      </w:r>
      <w:r w:rsidR="009F50B6">
        <w:instrText xml:space="preserve"> ADDIN ZOTERO_ITEM CSL_CITATION {"citationID":"VHWaRGKN","properties":{"formattedCitation":"{\\rtf \\super 37\\nosupersub{}}","plainCitation":"37"},"citationItems":[{"id":935,"uris":["http://zotero.org/users/2487980/items/GAV69CPB"],"uri":["http://zotero.org/users/2487980/items/GAV69CPB"],"itemData":{"id":935,"type":"report","title":"Thresholds in habitat supply: A review of the literature","publisher":"Ministry of Water, Land and Air Protection","publisher-place":"Victoria BC","page":"117","genre":"Wildlife Report","event-place":"Victoria BC","URL":"https://www.for.gov.bc.ca/tasb/slrp/citbc/b-Thresh-Dykstra-Sep04.pdf","number":"r-27","author":[{"family":"Dykstra","given":"Pamela"}],"issued":{"date-parts":[["2004"]]},"accessed":{"date-parts":[["2017",11,20]]}}}],"schema":"https://github.com/citation-style-language/schema/raw/master/csl-citation.json"} </w:instrText>
      </w:r>
      <w:r w:rsidR="00CE4115" w:rsidRPr="00EB3039">
        <w:fldChar w:fldCharType="separate"/>
      </w:r>
      <w:r w:rsidR="009F50B6" w:rsidRPr="009F50B6">
        <w:rPr>
          <w:rFonts w:ascii="Calibri" w:hAnsi="Calibri" w:cs="Calibri"/>
          <w:szCs w:val="24"/>
          <w:vertAlign w:val="superscript"/>
        </w:rPr>
        <w:t>37</w:t>
      </w:r>
      <w:r w:rsidR="00CE4115" w:rsidRPr="00EB3039">
        <w:fldChar w:fldCharType="end"/>
      </w:r>
      <w:r w:rsidR="009D2551">
        <w:t xml:space="preserve"> </w:t>
      </w:r>
    </w:p>
    <w:p w14:paraId="5A129560" w14:textId="520D187A" w:rsidR="00137BDB" w:rsidRPr="00453226" w:rsidRDefault="00CE4115" w:rsidP="00137BDB">
      <w:pPr>
        <w:jc w:val="both"/>
      </w:pPr>
      <w:r>
        <w:t>Third</w:t>
      </w:r>
      <w:r w:rsidR="00174E8A">
        <w:t>, i</w:t>
      </w:r>
      <w:r w:rsidR="000470C2">
        <w:t>n addition to the implications of large, infrequent disturbances, the multiple nature of disturbance in the wildfire landscapes is of concern</w:t>
      </w:r>
      <w:r w:rsidR="00500F62">
        <w:t xml:space="preserve"> to disturbance thresholds</w:t>
      </w:r>
      <w:r w:rsidR="00303231">
        <w:t xml:space="preserve"> in the context of recovery</w:t>
      </w:r>
      <w:r w:rsidR="000470C2">
        <w:t xml:space="preserve">. </w:t>
      </w:r>
      <w:r w:rsidR="000470C2" w:rsidRPr="00453226">
        <w:t>The unprecedented 2017 wildfires burned in landscapes that w</w:t>
      </w:r>
      <w:r w:rsidR="000470C2">
        <w:t>ere in the early stages of recovery from two previous, large disturbances; first, a mountain pine beetle outbreak of exceptional extent, and second, the ensuing, salvage logging operations. E</w:t>
      </w:r>
      <w:r w:rsidR="00137BDB" w:rsidRPr="001C4256">
        <w:t xml:space="preserve">cosystems are at their lowest resilience immediately following disturbance, meaning </w:t>
      </w:r>
      <w:r w:rsidR="000470C2">
        <w:t xml:space="preserve">that </w:t>
      </w:r>
      <w:r w:rsidR="00137BDB" w:rsidRPr="001C4256">
        <w:t>thresholds are most likely to be breached</w:t>
      </w:r>
      <w:r w:rsidR="00137BDB">
        <w:t xml:space="preserve"> at this time</w:t>
      </w:r>
      <w:r w:rsidR="00137BDB" w:rsidRPr="001C4256">
        <w:t xml:space="preserve">, and </w:t>
      </w:r>
      <w:r w:rsidR="000470C2">
        <w:t xml:space="preserve">that </w:t>
      </w:r>
      <w:r w:rsidR="00137BDB" w:rsidRPr="001C4256">
        <w:t>the system is less resilient to subsequent disturbance</w:t>
      </w:r>
      <w:r w:rsidR="00137BDB">
        <w:t>.</w:t>
      </w:r>
      <w:r w:rsidR="00137BDB">
        <w:fldChar w:fldCharType="begin"/>
      </w:r>
      <w:r w:rsidR="009F50B6">
        <w:instrText xml:space="preserve"> ADDIN ZOTERO_ITEM CSL_CITATION {"citationID":"QogKt19R","properties":{"formattedCitation":"{\\rtf \\super 38\\nosupersub{}}","plainCitation":"38"},"citationItems":[{"id":889,"uris":["http://zotero.org/users/2487980/items/IP5967F2"],"uri":["http://zotero.org/users/2487980/items/IP5967F2"],"itemData":{"id":889,"type":"book","title":"Panarchy: Understanding Transformations in Human and Natural Systems","publisher":"Island Press","number-of-pages":"532","source":"Google Books","abstract":"Creating institutions to meet the challenge of sustainability is arguably the most important task confronting society; it is also dauntingly complex. Ecological, economic, and social elements all play a role, but despite ongoing efforts, researchers have yet to succeed in integrating the various disciplines in a way that gives adequate representation to the insights of each.Panarchy, a term devised to describe evolving hierarchical systems with multiple interrelated elements, offers an important new framework for understanding and resolving this dilemma. Panarchy is the structure in which systems, including those of nature (e.g., forests) and of humans (e.g., capitalism), as well as combined human-natural systems (e.g., institutions that govern natural resource use), are interlinked in continual adaptive cycles of growth, accumulation, restructuring, and renewal. By understanding these cycles and their scales, researchers can identify the points at which a system is capable of accepting positive change, and can use those points to foster resilience within the system.This volume brings together leading thinkers on the subject to develop and examine the concept of panarchy and to consider how it can be applied to human, natural, and human-natural systems. Throughout, contributors seek to identify adaptive approaches to management that recognize uncertainty and encourage innovation while fostering resilience.The book is a fundamental new development in a widely acclaimed line of inquiry. It represents the first step in integrating disciplinary knowledge for the adaptive management of human-natural systems across widely divergent scales, and offers an important base of knowledge from which institutions for adaptive management can be developed. It will be an invaluable source of ideas and understanding for students, researchers, and professionals involved with ecology, conservation biology, ecological economics, environmental policy, or related fields.","ISBN":"978-1-59726-939-1","note":"Google-Books-ID: o4u89akUhJMC","shortTitle":"Panarchy","language":"en","author":[{"family":"Gunderson","given":"Lance H."},{"family":"Holling","given":"C.s."}],"issued":{"date-parts":[["2001",12,1]]}}}],"schema":"https://github.com/citation-style-language/schema/raw/master/csl-citation.json"} </w:instrText>
      </w:r>
      <w:r w:rsidR="00137BDB">
        <w:fldChar w:fldCharType="separate"/>
      </w:r>
      <w:r w:rsidR="009F50B6" w:rsidRPr="009F50B6">
        <w:rPr>
          <w:rFonts w:ascii="Calibri" w:hAnsi="Calibri" w:cs="Calibri"/>
          <w:szCs w:val="24"/>
          <w:vertAlign w:val="superscript"/>
        </w:rPr>
        <w:t>38</w:t>
      </w:r>
      <w:r w:rsidR="00137BDB">
        <w:fldChar w:fldCharType="end"/>
      </w:r>
      <w:r w:rsidR="00137BDB" w:rsidRPr="001C4256">
        <w:t xml:space="preserve"> The </w:t>
      </w:r>
      <w:r w:rsidR="00137BDB">
        <w:t xml:space="preserve">empirical evidence for </w:t>
      </w:r>
      <w:r w:rsidR="00137BDB" w:rsidRPr="001C4256">
        <w:t xml:space="preserve">threshold effects </w:t>
      </w:r>
      <w:r w:rsidR="00137BDB">
        <w:t>caused by</w:t>
      </w:r>
      <w:r w:rsidR="00137BDB" w:rsidRPr="001C4256">
        <w:t xml:space="preserve"> multiple disturbances in quick succession is in part</w:t>
      </w:r>
      <w:r w:rsidR="00137BDB" w:rsidRPr="0014552E">
        <w:t xml:space="preserve"> relate</w:t>
      </w:r>
      <w:r w:rsidR="00137BDB">
        <w:t>d</w:t>
      </w:r>
      <w:r w:rsidR="00137BDB" w:rsidRPr="001C4256">
        <w:t xml:space="preserve"> to climate change and the amplifying effects of the disturbance interactions</w:t>
      </w:r>
      <w:r w:rsidR="00137BDB" w:rsidRPr="00453226">
        <w:t>, and</w:t>
      </w:r>
      <w:r w:rsidR="00137BDB">
        <w:t xml:space="preserve"> resulting lag times in recovery or the loss of capacity to self-organize, with an increase in </w:t>
      </w:r>
      <w:r w:rsidR="006D3EC3">
        <w:t xml:space="preserve">random, unpredictable (i.e., </w:t>
      </w:r>
      <w:r w:rsidR="00137BDB">
        <w:t>stochastic</w:t>
      </w:r>
      <w:r w:rsidR="006D3EC3">
        <w:t>)</w:t>
      </w:r>
      <w:r w:rsidR="00137BDB">
        <w:t xml:space="preserve"> outcomes.</w:t>
      </w:r>
      <w:r w:rsidR="000E0CEA" w:rsidRPr="000E0CEA">
        <w:rPr>
          <w:rFonts w:ascii="Calibri" w:hAnsi="Calibri" w:cs="Calibri"/>
          <w:szCs w:val="24"/>
          <w:vertAlign w:val="superscript"/>
        </w:rPr>
        <w:t xml:space="preserve"> </w:t>
      </w:r>
      <w:r w:rsidR="000E0CEA" w:rsidRPr="009F50B6">
        <w:rPr>
          <w:rFonts w:ascii="Calibri" w:hAnsi="Calibri" w:cs="Calibri"/>
          <w:szCs w:val="24"/>
          <w:vertAlign w:val="superscript"/>
        </w:rPr>
        <w:t>22,</w:t>
      </w:r>
      <w:r w:rsidR="00137BDB">
        <w:fldChar w:fldCharType="begin"/>
      </w:r>
      <w:r w:rsidR="009F50B6">
        <w:instrText xml:space="preserve"> ADDIN ZOTERO_ITEM CSL_CITATION {"citationID":"YnSE1toV","properties":{"formattedCitation":"{\\rtf \\super 28,39\\uc0\\u8211{}43\\nosupersub{}}","plainCitation":"28,39–43"},"citationItems":[{"id":885,"uris":["http://zotero.org/users/2487980/items/6VEWPMWE"],"uri":["http://zotero.org/users/2487980/items/6VEWPMWE"],"itemData":{"id":885,"type":"article-journal","title":"Is initial post-disturbance regeneration indicative of longer-term trajectories?","container-title":"Ecosphere","page":"n/a-n/a","volume":"8","issue":"8","source":"Wiley Online Library","abstract":"The ability to estimate and model future vegetation dynamics is a central focus of contemporary ecology and is essential for understanding future ecological trajectories. It is therefore critical to understand when the influence of initial post-disturbance regeneration versus stochastic processes dominates long-term post-disturbance ecological processes. Often, conclusions about post-disturbance dynamics are based upon initial regeneration in the years immediately after disturbances. However, the degree to which initial post-disturbance regeneration indicates longer-term trends is likely to be contingent on the types, intensities, and combinations of disturbances, as well as pre-disturbance ecosystem structure and composition. Our relatively limited understanding of why initial post-disturbance regeneration is sometimes a poor predictor of future ecosystem trajectories represents a critical gap in post-disturbance ecological forecasting. We studied the composition and density of regeneration of tree species following wind blowdown in 1997, wildfire in 2002, and compounded disturbances by blowdown and wildfire in subalpine forests of Colorado. We examined regeneration of Picea engelmannii, Abies lasiocarpa, Pinus contorta, and Populus tremuloides in 180 permanent plots across 12 sites (classified by pre-disturbance age and composition) in 2003, 2010, and 2015. At sites that were blown down but not burned, regeneration was dense and dominated by Picea and Abies. At these sites, regeneration observed from 2003 to 2005 (hereafter initial regeneration) was also highly predictive of regeneration 5–10 yr later. In contrast, at sites that were burned and sites that were blown down and burned, regeneration was less dense and dominated by a mix of species. At these sites, initial regeneration was a poor predictor of longer-term trends as species dominance and overall density fluctuated over the 13-yr period. These findings call into question our ability to confidently predict ecosystem trajectories based upon observations made in the years immediately after large, severe disturbances such as wildfires and compounded disturbances. As compounded disturbances become more common under climatically driven changes in disturbance regimes, post-disturbance ecosystem trajectories may become increasingly stochastic and unpredictable.","DOI":"10.1002/ecs2.1924","ISSN":"2150-8925","journalAbbreviation":"Ecosphere","language":"en","author":[{"family":"Gill","given":"Nathan S."},{"family":"Jarvis","given":"Daniel"},{"family":"Veblen","given":"Thomas T."},{"family":"Pickett","given":"Steward T. A."},{"family":"Kulakowski","given":"Dominik"}],"issued":{"date-parts":[["2017",8,1]]}}},{"id":907,"uris":["http://zotero.org/users/2487980/items/S8SSXB9R"],"uri":["http://zotero.org/users/2487980/items/S8SSXB9R"],"itemData":{"id":907,"type":"article-journal","title":"Climate Drives Episodic Conifer Establishment after Fire in Dry Ponderosa Pine Forests of the Colorado Front Range, USA","container-title":"Forests","page":"159","volume":"8","issue":"5","source":"www.mdpi.com","abstract":"In recent years, warming climate and increased fire activity have raised concern about post-fire recovery of western U.S. forests. We assessed relationships between climate variability and tree establishment after fire in dry ponderosa pine forests of the Colorado Front Range. We harvested and aged over 400 post-fire juvenile ponderosa pine (Pinus ponderosa) and Douglas-fir (Pseudotsuga menziesii) trees using an improved tree-ring based approach that yielded annually-resolved dates and then assessed relationships between climate variability and pulses of tree establishment. We found that tree establishment was largely concentrated in years of above-average moisture availability in the growing season, including higher amounts of precipitation and more positive values of the Palmer Drought Severity Index. Under continued climate change, drier conditions associated with warming temperatures may limit forest recovery after fire, which could result in lower stand densities or shifts to non-forested vegetation in some areas.","DOI":"10.3390/f8050159","language":"en","author":[{"family":"Rother","given":"Monica T."},{"family":"Veblen","given":"Thomas T."}],"issued":{"date-parts":[["2017",5,8]]}}},{"id":920,"uris":["http://zotero.org/users/2487980/items/4ZFLC395"],"uri":["http://zotero.org/users/2487980/items/4ZFLC395"],"itemData":{"id":920,"type":"article-journal","title":"The impact of future forest dynamics on climate: interactive effects of changing vegetation and disturbance regimes","container-title":"Ecological Monographs","page":"665-684","volume":"87","issue":"4","source":"Wiley Online Library","abstract":"Currently, the temperate forest biome cools the earth's climate and dampens anthropogenic climate change. However, climate change will substantially alter forest dynamics in the future, affecting the climate regulation function of forests. Increasing natural disturbances can reduce carbon uptake and evaporative cooling, but at the same time increase the albedo of a landscape. Simultaneous changes in vegetation composition can mitigate disturbance impacts, but also influence climate regulation directly (e.g., via albedo changes). As a result of a number of interactive drivers (changes in climate, vegetation, and disturbance) and their simultaneous effects on climate-relevant processes (carbon exchange, albedo, latent heat flux) the future climate regulation function of forests remains highly uncertain. Here we address these complex interactions to assess the effect of future forest dynamics on the climate system. Our specific objectives were (1) to investigate the long-term interactions between changing vegetation composition and disturbance regimes under climate change, (2) to quantify the response of climate regulation to changes in forest dynamics, and (3) to identify the main drivers of the future influence of forests on the climate system. We investigated these issues using the individual-based forest landscape and disturbance model (iLand). Simulations were run over 200 yr for Kalkalpen National Park (Austria), assuming different future climate projections, and incorporating dynamically responding wind and bark beetle disturbances. To consistently assess the net effect on climate the simulated responses of carbon exchange, albedo, and latent heat flux were expressed as contributions to radiative forcing. We found that climate change increased disturbances (+27.7% over 200 yr) and specifically bark beetle activity during the 21st century. However, negative feedbacks from a simultaneously changing tree species composition (+28.0% broadleaved species) decreased disturbance activity in the long run (−10.1%), mainly by reducing the host trees available for bark beetles. Climate change and the resulting future forest dynamics significantly reduced the climate regulation function of the landscape, increasing radiative forcing by up to +10.2% on average over 200 yr. Overall, radiative forcing was most strongly driven by carbon exchange. We conclude that future changes in forest dynamics can cause amplifying climate feedbacks from temperate forest ecosystems.","DOI":"10.1002/ecm.1272","ISSN":"1557-7015","shortTitle":"The impact of future forest dynamics on climate","journalAbbreviation":"Ecol Monogr","language":"en","author":[{"family":"Thom","given":"Dominik"},{"family":"Rammer","given":"Werner"},{"family":"Seidl","given":"Rupert"}],"issued":{"date-parts":[["2017",11,1]]}}},{"id":749,"uris":["http://zotero.org/users/2487980/items/J7GSSDKK"],"uri":["http://zotero.org/users/2487980/items/J7GSSDKK"],"itemData":{"id":749,"type":"article-journal","title":"Forest disturbances under climate change","container-title":"Nature Climate Change","page":"395-402","volume":"7","issue":"6","source":"www.nature.com","abstract":"Forest disturbances are sensitive to climate. However, our understanding of disturbance dynamics in response to climatic changes remains incomplete, particularly regarding large-scale patterns, interaction effects and dampening feedbacks. Here we provide a global synthesis of climate change effects on important abiotic (fire, drought, wind, snow and ice) and biotic (insects and pathogens) disturbance agents. Warmer and drier conditions particularly facilitate fire, drought and insect disturbances, while warmer and wetter conditions increase disturbances from wind and pathogens. Widespread interactions between agents are likely to amplify disturbances, while indirect climate effects such as vegetation changes can dampen long-term disturbance sensitivities to climate. Future changes in disturbance are likely to be most pronounced in coniferous forests and the boreal biome. We conclude that both ecosystems and society should be prepared for an increasingly disturbed future of forests.","DOI":"10.1038/nclimate3303","ISSN":"1758-678X","journalAbbreviation":"Nature Clim. Change","language":"en","author":[{"family":"Seidl","given":"Rupert"},{"family":"Thom","given":"Dominik"},{"family":"Kautz","given":"Markus"},{"family":"Martin-Benito","given":"Dario"},{"family":"Peltoniemi","given":"Mikko"},{"family":"Vacchiano","given":"Giorgio"},{"family":"Wild","given":"Jan"},{"family":"Ascoli","given":"Davide"},{"family":"Petr","given":"Michal"},{"family":"Honkaniemi","given":"Juha"},{"family":"Lexer","given":"Manfred J."},{"family":"Trotsiuk","given":"Volodymyr"},{"family":"Mairota","given":"Paola"},{"family":"Svoboda","given":"Miroslav"},{"family":"Fabrika","given":"Marek"},{"family":"Nagel","given":"Thomas A."},{"family":"Reyer","given":"Christopher P. O."}],"issued":{"date-parts":[["2017",6]]}}},{"id":716,"uris":["http://zotero.org/users/2487980/items/2UHGA8AN"],"uri":["http://zotero.org/users/2487980/items/2UHGA8AN"],"itemData":{"id":716,"type":"article-journal","title":"Disturbance interactions can impact resilience mechanisms of forests","container-title":"Ecosphere","page":"1-13","volume":"2","issue":"5","source":"Wiley Online Library","abstract":"Interactions between multiple disturbances are of special concern in ecology due to their potential for non-linear behavior and long-lasting legacies on landscape structure and function. If multiple disturbances overcome the ecological resilience of a system, alternate stable states are possible. Increases in the frequency and severity of disturbance events as a result of climate change heighten this concern. This study directly addresses the question of ecosystem resilience in the face of multiple disturbances. We investigated a gradient of disturbance interaction severities between two events in a subalpine forest, a 1997 windstorm (variable severity) and a 2002 wildfire (high-severity). A third disturbance, salvage logging of blowdown (1999–2001) prior to the fire, served as a de facto experimental treatment. Ninety-nine study plots were established across the disturbance gradient, including fire-only areas for a baseline fire response. Modeling indicated that the combination of two severe disturbances created novel conditions which exceeded the resilience mechanisms of the system. Modeled mean fire residence time and temperature (First Order Fire Effects Model, FOFEM), as well as mean distance to potential seed sources, increased as a result of the interaction. Regeneration 8 years post-fire was essentially absent in medium- to high-severity blowdown + fire plots, whereas low-severity blowdown + fire and fire-only areas showed strong regeneration. Blowdown + salvage + fire had significantly higher regeneration than areas of comparable blowdown, suggesting that fuel loading drove the interaction. CART analysis supported this hypothesis. Multiple disturbances have the potential to create surprising situations and reduce the resilience of an ecosystem. Differential recovery as a result of a “novel disturbance” created by compounding events will likely have long lasting legacies across the landscape.","DOI":"10.1890/ES11-00038.1","ISSN":"2150-8925","language":"en","author":[{"family":"Buma","given":"B."},{"family":"Wessman","given":"C. A."}],"issued":{"date-parts":[["2011",5,1]]}}},{"id":679,"uris":["http://zotero.org/users/2487980/items/3MNNXAEZ"],"uri":["http://zotero.org/users/2487980/items/3MNNXAEZ"],"itemData":{"id":679,"type":"article-journal","title":"Net effects of multiple stressors in freshwater ecosystems: a meta-analysis","container-title":"Global Change Biology","page":"180-189","volume":"22","issue":"1","source":"Wiley Online Library","abstract":"The accelerating rate of global change has focused attention on the cumulative impacts of novel and extreme environmental changes (i.e. stressors), especially in marine ecosystems. As integrators of local catchment and regional processes, freshwater ecosystems are also ranked highly sensitive to the net effects of multiple stressors, yet there has not been a large-scale quantitative synthesis. We analysed data from 88 papers including 286 responses of freshwater ecosystems to paired stressors and discovered that overall, their cumulative mean effect size was less than the sum of their single effects (i.e. an antagonistic interaction). Net effects of dual stressors on diversity and functional performance response metrics were additive and antagonistic, respectively. Across individual studies, a simple vote-counting method revealed that the net effects of stressor pairs were frequently more antagonistic (41%) than synergistic (28%), additive (16%) or reversed (15%). Here, we define a reversal as occurring when the net impact of two stressors is in the opposite direction (negative or positive) from that of the sum of their single effects. While warming paired with nutrification resulted in additive net effects, the overall mean net effect of warming combined with a second stressor was antagonistic. Most importantly, the mean net effects across all stressor pairs and response metrics were consistently antagonistic or additive, contrasting the greater prevalence of reported synergies in marine systems. Here, a possible explanation for more antagonistic responses by freshwater biota to stressors is that the inherent greater environmental variability of smaller aquatic ecosystems fosters greater potential for acclimation and co-adaptation to multiple stressors.","DOI":"10.1111/gcb.13028","ISSN":"1365-2486","shortTitle":"Net effects of multiple stressors in freshwater ecosystems","journalAbbreviation":"Glob Change Biol","language":"en","author":[{"family":"Jackson","given":"Michelle C."},{"family":"Loewen","given":"Charlie J. G."},{"family":"Vinebrooke","given":"Rolf D."},{"family":"Chimimba","given":"Christian T."}],"issued":{"date-parts":[["2016",1,1]]}}}],"schema":"https://github.com/citation-style-language/schema/raw/master/csl-citation.json"} </w:instrText>
      </w:r>
      <w:r w:rsidR="00137BDB">
        <w:fldChar w:fldCharType="separate"/>
      </w:r>
      <w:r w:rsidR="009F50B6" w:rsidRPr="009F50B6">
        <w:rPr>
          <w:rFonts w:ascii="Calibri" w:hAnsi="Calibri" w:cs="Calibri"/>
          <w:szCs w:val="24"/>
          <w:vertAlign w:val="superscript"/>
        </w:rPr>
        <w:t>28,39–</w:t>
      </w:r>
      <w:r w:rsidR="00137BDB">
        <w:fldChar w:fldCharType="end"/>
      </w:r>
      <w:r w:rsidR="00137BDB">
        <w:fldChar w:fldCharType="begin"/>
      </w:r>
      <w:r w:rsidR="00787C48">
        <w:instrText xml:space="preserve"> ADDIN ZOTERO_ITEM CSL_CITATION {"citationID":"a1f6j9aeulq","properties":{"formattedCitation":"{\\rtf \\super 44\\nosupersub{}}","plainCitation":"44"},"citationItems":[{"id":938,"uris":["http://zotero.org/users/2487980/items/GTHSCDPJ"],"uri":["http://zotero.org/users/2487980/items/GTHSCDPJ"],"itemData":{"id":938,"type":"article-journal","title":"Three large fire years threaten resilience of closed crown black spruce forests in eastern Canada","container-title":"Ecosphere","page":"1-20","volume":"4","issue":"5","source":"Wiley Online Library","abstract":"An emerging paradigm regarding vegetation response to climate warming is that the interaction of weather extremes and disturbance will trigger abrupt changes in ecosystem types by overcoming resilience of dominant species. Black spruce (Picea mariana (Mill.)) ecosystems are widespread across the North American boreal forest, because of ecophysiological adaptations that allowed these communities to thrive in fire-prone areas. We investigated resilience of spruce-moss forests to weather-disturbance interaction after a 3-year period (2005 to 2007) of major fire activity caused by extreme fire weather in eastern Canada. Pre- and post-fire conifer densities and environmental parameters related to seed rain, post-fire seedbeds, microclimate, and post-fire weather were measured in 133 burned stands throughout the closed-crown forest of Quebec. Critically low black spruce (BS) regeneration was observed in almost all of the stands, leading to a decrease in stand density and a shift of species dominance from BS to jack pine (Pinus banksiana (Lamb.), JP). The studied sites were characterized by thick residual organic matter, resulting in a predominance of charred duff, a seedbed associated with low water retention and high variation in temperature. While high levels of JP seedling establishment were reported on this seedbed, it was unfavorable to BS germination and survival in the context of warm and dry weather that prevailed in post-fire summers. In these ecosystems, early vegetation establishment patterns are generally reliable predictors of future stand composition and the exclusion of BS will presumably be maintained through succession. During large fire years, high proportions of the landscape are subjected to the interaction of fire regime and weather that creates unsuitable conditions for BS regeneration. Hence, vegetation change is susceptible to happen at a broad scale. Therefore, the frequency of major fire years could have a decisive influence on the rate of vegetation response to climate change in this biome.","DOI":"10.1890/ES13-00038.1","ISSN":"2150-8925","language":"en","author":[{"family":"Boiffin","given":"J."},{"family":"Munson","given":"A. D."}],"issued":{"date-parts":[["2013",5,1]]}}}],"schema":"https://github.com/citation-style-language/schema/raw/master/csl-citation.json"} </w:instrText>
      </w:r>
      <w:r w:rsidR="00137BDB">
        <w:fldChar w:fldCharType="separate"/>
      </w:r>
      <w:r w:rsidR="00787C48" w:rsidRPr="00787C48">
        <w:rPr>
          <w:rFonts w:ascii="Calibri" w:hAnsi="Calibri" w:cs="Calibri"/>
          <w:szCs w:val="24"/>
          <w:vertAlign w:val="superscript"/>
        </w:rPr>
        <w:t>44</w:t>
      </w:r>
      <w:r w:rsidR="00137BDB">
        <w:fldChar w:fldCharType="end"/>
      </w:r>
    </w:p>
    <w:p w14:paraId="15F95852" w14:textId="3362046F" w:rsidR="00137BDB" w:rsidRDefault="00137BDB" w:rsidP="00137BDB">
      <w:pPr>
        <w:jc w:val="both"/>
      </w:pPr>
      <w:r w:rsidRPr="00453226">
        <w:t xml:space="preserve">It is likely that the landscapes </w:t>
      </w:r>
      <w:r>
        <w:t xml:space="preserve">of </w:t>
      </w:r>
      <w:r w:rsidRPr="00453226">
        <w:t xml:space="preserve">the 2017 </w:t>
      </w:r>
      <w:r w:rsidR="00AD2298">
        <w:t>wildfires</w:t>
      </w:r>
      <w:r w:rsidRPr="00453226">
        <w:t xml:space="preserve"> represent </w:t>
      </w:r>
      <w:r w:rsidR="00C054C0">
        <w:t xml:space="preserve">extremes, if not </w:t>
      </w:r>
      <w:r w:rsidRPr="00453226">
        <w:t>breaches</w:t>
      </w:r>
      <w:r w:rsidR="00C054C0">
        <w:t>,</w:t>
      </w:r>
      <w:r w:rsidRPr="00453226">
        <w:t xml:space="preserve"> </w:t>
      </w:r>
      <w:r>
        <w:t xml:space="preserve">in </w:t>
      </w:r>
      <w:r w:rsidRPr="00453226">
        <w:t>the</w:t>
      </w:r>
      <w:r>
        <w:t>se</w:t>
      </w:r>
      <w:r w:rsidRPr="00453226">
        <w:t xml:space="preserve"> measures of disturbance – extent, severity, periodicity, and disturbance interactions. </w:t>
      </w:r>
      <w:r w:rsidRPr="001C4256">
        <w:t xml:space="preserve">The relatively rapid periodicity of large, interacting disturbances (MPB, salvage, </w:t>
      </w:r>
      <w:r w:rsidR="009C1BAF">
        <w:t>wildfire</w:t>
      </w:r>
      <w:r w:rsidRPr="001C4256">
        <w:t xml:space="preserve">) in the landscapes of the 2017 wildfires </w:t>
      </w:r>
      <w:r w:rsidR="00695E10">
        <w:t xml:space="preserve">have </w:t>
      </w:r>
      <w:r w:rsidR="00FB7F0A">
        <w:t xml:space="preserve">resulted in </w:t>
      </w:r>
      <w:r w:rsidR="00695E10">
        <w:t xml:space="preserve">the presence of </w:t>
      </w:r>
      <w:r w:rsidRPr="001C4256">
        <w:t>multiple, key factors</w:t>
      </w:r>
      <w:r w:rsidR="00695E10">
        <w:t xml:space="preserve"> that</w:t>
      </w:r>
      <w:r>
        <w:t xml:space="preserve"> in other landscapes</w:t>
      </w:r>
      <w:r w:rsidR="00174E8A">
        <w:t>, and in the face of climate change,</w:t>
      </w:r>
      <w:r w:rsidRPr="001C4256">
        <w:t xml:space="preserve"> have led to the loss of ecological resilience. </w:t>
      </w:r>
      <w:r w:rsidR="00C51D6B">
        <w:t>A substantial portion</w:t>
      </w:r>
      <w:r>
        <w:t xml:space="preserve"> of the area disturbed by wildfire is predicted to change BEC variant or subzone by 2050. </w:t>
      </w:r>
      <w:r>
        <w:rPr>
          <w:sz w:val="23"/>
          <w:szCs w:val="23"/>
        </w:rPr>
        <w:t>T</w:t>
      </w:r>
      <w:r>
        <w:t>here is concern that the effects of these multiple, interacting landscape</w:t>
      </w:r>
      <w:r w:rsidR="006D3EC3">
        <w:t>-</w:t>
      </w:r>
      <w:r>
        <w:t>scale disturbances, in conjunction with the effects of a century of natural resource development</w:t>
      </w:r>
      <w:r>
        <w:fldChar w:fldCharType="begin"/>
      </w:r>
      <w:r w:rsidR="0012005A">
        <w:instrText xml:space="preserve"> ADDIN ZOTERO_ITEM CSL_CITATION {"citationID":"EYJadriA","properties":{"formattedCitation":"{\\rtf \\super 10\\nosupersub{}}","plainCitation":"10"},"citationItems":[{"id":828,"uris":["http://zotero.org/users/2487980/items/5SNKBFKV"],"uri":["http://zotero.org/users/2487980/items/5SNKBFKV"],"itemData":{"id":828,"type":"article-journal","title":"The Effects of Postfire Salvage Logging on Aquatic Ecosystems in the American West","container-title":"BioScience","page":"1029-1033","volume":"54","issue":"11","source":"academic.oup.com","abstract":"Recent changes in the forest policies, regulations, and laws affecting public lands encourage postfire salvage logging, an activity that all too often delays or prevents recovery. In contrast, the 10 recommendations proposed here can improve the condition of watersheds and aquatic ecosystems.","DOI":"10.1641/0006-3568(2004)054[1029:TEOPSL]2.0.CO;2","ISSN":"0006-3568","journalAbbreviation":"BioScience","author":[{"family":"Karr","given":"James R."},{"family":"Rhodes","given":"Jonathan J."},{"family":"Minshall","given":"G. Wayne"},{"family":"Hauer","given":"F. Richard"},{"family":"Beschta","given":"Robert L."},{"family":"Frissell","given":"Christopher A."},{"family":"Perry","given":"David A."}],"issued":{"date-parts":[["2004",11,1]]}}}],"schema":"https://github.com/citation-style-language/schema/raw/master/csl-citation.json"} </w:instrText>
      </w:r>
      <w:r>
        <w:fldChar w:fldCharType="separate"/>
      </w:r>
      <w:r w:rsidR="0012005A" w:rsidRPr="007610F7">
        <w:rPr>
          <w:rFonts w:ascii="Calibri" w:hAnsi="Calibri" w:cs="Calibri"/>
          <w:szCs w:val="24"/>
          <w:vertAlign w:val="superscript"/>
        </w:rPr>
        <w:t>10</w:t>
      </w:r>
      <w:r>
        <w:fldChar w:fldCharType="end"/>
      </w:r>
      <w:r>
        <w:t xml:space="preserve"> and current and projected changes in climate, may compromise </w:t>
      </w:r>
      <w:r w:rsidR="00940041">
        <w:t xml:space="preserve">recovery, </w:t>
      </w:r>
      <w:r>
        <w:t>the ecological resilience of these ecosystems</w:t>
      </w:r>
      <w:r w:rsidR="00500F62">
        <w:t xml:space="preserve"> and/or their resident species</w:t>
      </w:r>
      <w:r>
        <w:t>.</w:t>
      </w:r>
      <w:r>
        <w:fldChar w:fldCharType="begin"/>
      </w:r>
      <w:r w:rsidR="004C2E00">
        <w:instrText xml:space="preserve"> ADDIN ZOTERO_ITEM CSL_CITATION {"citationID":"Qrp5yDgD","properties":{"formattedCitation":"{\\rtf \\super 6,7,14\\nosupersub{}}","plainCitation":"6,7,14"},"citationItems":[{"id":773,"uris":["http://zotero.org/users/2487980/items/NMQWCZCF"],"uri":["http://zotero.org/users/2487980/items/NMQWCZCF"],"itemData":{"id":773,"type":"report","title":"Ecological resilience and complexity: a theoretical framework for understanding and managing British Columbia’s forest ecosystems in a changing climate","publisher":"MFLNRO","publisher-place":"Victoria BC","genre":"Technical Report","event-place":"Victoria BC","abstract":"This Technical Report is one of a series of foundation papers for the British Columbia Ministry of Forests and Range's Future Forest Ecosystems Initiative (FFEI). The series of foundation papers will increase awareness about the potential impact of climate change on forest range resources in British Columbia. It will also provide information to help assess the vulnerability of British Columbia's forest and range resources to climate change and guide the development of adaptation strategies.\n\nThis report summarizes the theory of ecological resilience and explores how this aspect of complex system science provides guidance for managing forests in a changing climate.","URL":"https://www.for.gov.bc.ca/hfd/pubs/docs/tr/tr055.htm","number":"55","author":[{"family":"Campbell","given":"Elizabeth"},{"family":"Saunders","given":"Sari C."},{"family":"coates","given":"K. D."},{"family":"Meidinger","given":"Del"},{"family":"MacKinnon","given":"Andy"},{"family":"O'Neill","given":"Greg"},{"family":"MacKillop","given":"Deb"},{"family":"DeLong","given":"S. Craig"},{"family":"Morgan","given":"Don"}],"issued":{"date-parts":[["2009"]]},"accessed":{"date-parts":[["2017",10,4]]}}},{"id":791,"uris":["http://zotero.org/users/2487980/items/ZISEZT4A"],"uri":["http://zotero.org/users/2487980/items/ZISEZT4A"],"itemData":{"id":791,"type":"article-journal","title":"Restoring fire-prone Inland Pacific landscapes: seven core principles","container-title":"Landscape Ecology","page":"1805-1835","volume":"30","issue":"10","source":"link.springer.com","abstract":"ContextMore than a century of forest and fire management of Inland Pacific landscapes has transformed their successional and disturbance dynamics. Regional connectivity of many terrestrial and aquatic habitats is fragmented, flows of some ecological and physical processes have been altered in space and time, and the frequency, size and intensity of many disturbances that configure these habitats have been altered. Current efforts to address these impacts yield a small footprint in comparison to wildfires and insect outbreaks. Moreover, many current projects emphasize thinning and fuels reduction within individual forest stands, while overlooking large-scale habitat connectivity and disturbance flow issues.MethodsWe provide a framework for landscape restoration, offering seven principles. We discuss their implication for management, and illustrate their application with examples.ResultsHistorical forests were spatially heterogeneous at multiple scales. Heterogeneity was the result of variability and interactions among native ecological patterns and processes, including successional and disturbance processes regulated by climatic and topographic drivers. Native flora and fauna were adapted to these conditions, which conferred a measure of resilience to variability in climate and recurrent contagious disturbances.ConclusionsTo restore key characteristics of this resilience to current landscapes, planning and management are needed at ecoregion, local landscape, successional patch, and tree neighborhood scales. Restoration that works effectively across ownerships and allocations will require active thinking about landscapes as socio-ecological systems that provide services to people within the finite capacities of ecosystems. We focus attention on landscape-level prescriptions as foundational to restoration planning and execution.","DOI":"10.1007/s10980-015-0218-0","ISSN":"0921-2973, 1572-9761","shortTitle":"Restoring fire-prone Inland Pacific landscapes","journalAbbreviation":"Landscape Ecol","language":"en","author":[{"family":"Hessburg","given":"Paul F."},{"family":"Churchill","given":"Derek J."},{"family":"Larson","given":"Andrew J."},{"family":"Haugo","given":"Ryan D."},{"family":"Miller","given":"Carol"},{"family":"Spies","given":"Thomas A."},{"family":"North","given":"Malcolm P."},{"family":"Povak","given":"Nicholas A."},{"family":"Belote","given":"R. Travis"},{"family":"Singleton","given":"Peter H."},{"family":"Gaines","given":"William L."},{"family":"Keane","given":"Robert E."},{"family":"Aplet","given":"Gregory H."},{"family":"Stephens","given":"Scott L."},{"family":"Morgan","given":"Penelope"},{"family":"Bisson","given":"Peter A."},{"family":"Rieman","given":"Bruce E."},{"family":"Salter","given":"R. Brion"},{"family":"Reeves","given":"Gordon H."}],"issued":{"date-parts":[["2015",12,1]]}}},{"id":987,"uris":["http://zotero.org/users/2487980/items/R4ZZN6CZ"],"uri":["http://zotero.org/users/2487980/items/R4ZZN6CZ"],"itemData":{"id":987,"type":"article-journal","title":"Evidence for declining forest resilience to wildfires under climate change","container-title":"Ecology Letters","page":"n/a-n/a","source":"Wiley Online Library","abstract":"Forest resilience to climate change is a global concern given the potential effects of increased disturbance activity, warming temperatures and increased moisture stress on plants. We used a multi-regional dataset of 1485 sites across 52 wildfires from the US Rocky Mountains to ask if and how changing climate over the last several decades impacted post-fire tree regeneration, a key indicator of forest resilience. Results highlight significant decreases in tree regeneration in the 21st century. Annual moisture deficits were significantly greater from 2000 to 2015 as compared to 1985–1999, suggesting increasingly unfavourable post-fire growing conditions, corresponding to significantly lower seedling densities and increased regeneration failure. Dry forests that already occur at the edge of their climatic tolerance are most prone to conversion to non-forests after wildfires. Major climate-induced reduction in forest density and extent has important consequences for a myriad of ecosystem services now and in the future.","DOI":"10.1111/ele.12889","ISSN":"1461-0248","journalAbbreviation":"Ecol Lett","language":"en","author":[{"family":"Stevens-Rumann","given":"Camille S."},{"family":"Kemp","given":"Kerry B."},{"family":"Higuera","given":"Philip E."},{"family":"Harvey","given":"Brian J."},{"family":"Rother","given":"Monica T."},{"family":"Donato","given":"Daniel C."},{"family":"Morgan","given":"Penelope"},{"family":"Veblen","given":"Thomas T."}]}}],"schema":"https://github.com/citation-style-language/schema/raw/master/csl-citation.json"} </w:instrText>
      </w:r>
      <w:r>
        <w:fldChar w:fldCharType="separate"/>
      </w:r>
      <w:r w:rsidR="004C2E00" w:rsidRPr="004C2E00">
        <w:rPr>
          <w:rFonts w:ascii="Calibri" w:hAnsi="Calibri" w:cs="Calibri"/>
          <w:szCs w:val="24"/>
          <w:vertAlign w:val="superscript"/>
        </w:rPr>
        <w:t>6,7,14</w:t>
      </w:r>
      <w:r>
        <w:fldChar w:fldCharType="end"/>
      </w:r>
      <w:r w:rsidR="00574494">
        <w:t xml:space="preserve"> </w:t>
      </w:r>
    </w:p>
    <w:p w14:paraId="19BE1077" w14:textId="775BE630" w:rsidR="00137BDB" w:rsidRDefault="00137BDB" w:rsidP="00137BDB">
      <w:pPr>
        <w:pStyle w:val="Heading2"/>
      </w:pPr>
      <w:bookmarkStart w:id="52" w:name="_Toc498345453"/>
      <w:bookmarkStart w:id="53" w:name="_Toc498345841"/>
      <w:bookmarkStart w:id="54" w:name="_Toc498345911"/>
      <w:bookmarkStart w:id="55" w:name="_Toc498952957"/>
      <w:bookmarkStart w:id="56" w:name="_Toc503934753"/>
      <w:r>
        <w:t>Effects on soil</w:t>
      </w:r>
      <w:bookmarkEnd w:id="52"/>
      <w:bookmarkEnd w:id="53"/>
      <w:bookmarkEnd w:id="54"/>
      <w:bookmarkEnd w:id="55"/>
      <w:bookmarkEnd w:id="56"/>
    </w:p>
    <w:p w14:paraId="2B8A746E" w14:textId="68F0E517" w:rsidR="00137BDB" w:rsidRPr="009E6CE0" w:rsidRDefault="00702EE2" w:rsidP="00137BDB">
      <w:pPr>
        <w:jc w:val="both"/>
      </w:pPr>
      <w:r>
        <w:rPr>
          <w:noProof/>
          <w:lang w:val="en-CA" w:eastAsia="en-CA"/>
        </w:rPr>
        <mc:AlternateContent>
          <mc:Choice Requires="wps">
            <w:drawing>
              <wp:anchor distT="91440" distB="91440" distL="114300" distR="114300" simplePos="0" relativeHeight="251657728" behindDoc="0" locked="0" layoutInCell="1" allowOverlap="1" wp14:anchorId="20D0C70C" wp14:editId="5D3283EE">
                <wp:simplePos x="0" y="0"/>
                <wp:positionH relativeFrom="page">
                  <wp:posOffset>3526790</wp:posOffset>
                </wp:positionH>
                <wp:positionV relativeFrom="paragraph">
                  <wp:posOffset>984885</wp:posOffset>
                </wp:positionV>
                <wp:extent cx="3380740" cy="1403985"/>
                <wp:effectExtent l="0" t="0" r="0" b="4445"/>
                <wp:wrapSquare wrapText="bothSides"/>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0740" cy="1403985"/>
                        </a:xfrm>
                        <a:prstGeom prst="rect">
                          <a:avLst/>
                        </a:prstGeom>
                        <a:noFill/>
                        <a:ln w="9525">
                          <a:noFill/>
                          <a:miter lim="800000"/>
                          <a:headEnd/>
                          <a:tailEnd/>
                        </a:ln>
                      </wps:spPr>
                      <wps:txbx>
                        <w:txbxContent>
                          <w:p w14:paraId="656041BC" w14:textId="320F2382" w:rsidR="00742B64" w:rsidRPr="001C4256" w:rsidRDefault="00742B64" w:rsidP="00101B5A">
                            <w:pPr>
                              <w:pBdr>
                                <w:top w:val="single" w:sz="24" w:space="8" w:color="5B9BD5" w:themeColor="accent1"/>
                                <w:bottom w:val="single" w:sz="24" w:space="8" w:color="5B9BD5" w:themeColor="accent1"/>
                              </w:pBdr>
                              <w:spacing w:after="0" w:line="240" w:lineRule="auto"/>
                              <w:jc w:val="both"/>
                              <w:rPr>
                                <w:i/>
                                <w:iCs/>
                                <w:color w:val="5B9BD5" w:themeColor="accent1"/>
                              </w:rPr>
                            </w:pPr>
                            <w:r w:rsidRPr="001C4256">
                              <w:rPr>
                                <w:b/>
                                <w:i/>
                                <w:iCs/>
                                <w:color w:val="5B9BD5" w:themeColor="accent1"/>
                                <w:u w:val="single"/>
                              </w:rPr>
                              <w:t xml:space="preserve">BOX </w:t>
                            </w:r>
                            <w:r>
                              <w:rPr>
                                <w:b/>
                                <w:i/>
                                <w:iCs/>
                                <w:color w:val="5B9BD5" w:themeColor="accent1"/>
                                <w:u w:val="single"/>
                              </w:rPr>
                              <w:t>3</w:t>
                            </w:r>
                            <w:r w:rsidRPr="001C4256">
                              <w:rPr>
                                <w:b/>
                                <w:i/>
                                <w:iCs/>
                                <w:color w:val="5B9BD5" w:themeColor="accent1"/>
                                <w:u w:val="single"/>
                              </w:rPr>
                              <w:t>. Hydrophobic Soils:</w:t>
                            </w:r>
                            <w:r w:rsidRPr="001C4256">
                              <w:rPr>
                                <w:i/>
                                <w:iCs/>
                                <w:color w:val="5B9BD5" w:themeColor="accent1"/>
                              </w:rPr>
                              <w:t xml:space="preserve"> when plant matter is burned during an intense fire, a waxy substance is released and it penetrates the soil as a gas. When the soil cools, this waxy substance hardens around soil particles and the soil becomes hydrophobic. Hydrophobic soils repel water and the amount of water that can infiltrate the soil is reduced.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35" type="#_x0000_t202" style="position:absolute;left:0;text-align:left;margin-left:277.7pt;margin-top:77.55pt;width:266.2pt;height:110.55pt;z-index:251657728;visibility:visible;mso-wrap-style:square;mso-width-percent:0;mso-height-percent:200;mso-wrap-distance-left:9pt;mso-wrap-distance-top:7.2pt;mso-wrap-distance-right:9pt;mso-wrap-distance-bottom:7.2pt;mso-position-horizontal:absolute;mso-position-horizontal-relative:page;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" filled="f" stroked="f">
                <v:textbox style="mso-fit-shape-to-text:t">
                  <w:txbxContent>
                    <w:p w14:paraId="656041BC" w14:textId="320F2382" w:rsidR="00742B64" w:rsidRPr="001C4256" w:rsidRDefault="00742B64" w:rsidP="00101B5A">
                      <w:pPr>
                        <w:pBdr>
                          <w:top w:val="single" w:sz="24" w:space="8" w:color="5B9BD5" w:themeColor="accent1"/>
                          <w:bottom w:val="single" w:sz="24" w:space="8" w:color="5B9BD5" w:themeColor="accent1"/>
                        </w:pBdr>
                        <w:spacing w:after="0" w:line="240" w:lineRule="auto"/>
                        <w:jc w:val="both"/>
                        <w:rPr>
                          <w:i/>
                          <w:iCs/>
                          <w:color w:val="5B9BD5" w:themeColor="accent1"/>
                        </w:rPr>
                      </w:pPr>
                      <w:r w:rsidRPr="001C4256">
                        <w:rPr>
                          <w:b/>
                          <w:i/>
                          <w:iCs/>
                          <w:color w:val="5B9BD5" w:themeColor="accent1"/>
                          <w:u w:val="single"/>
                        </w:rPr>
                        <w:t xml:space="preserve">BOX </w:t>
                      </w:r>
                      <w:r>
                        <w:rPr>
                          <w:b/>
                          <w:i/>
                          <w:iCs/>
                          <w:color w:val="5B9BD5" w:themeColor="accent1"/>
                          <w:u w:val="single"/>
                        </w:rPr>
                        <w:t>3</w:t>
                      </w:r>
                      <w:r w:rsidRPr="001C4256">
                        <w:rPr>
                          <w:b/>
                          <w:i/>
                          <w:iCs/>
                          <w:color w:val="5B9BD5" w:themeColor="accent1"/>
                          <w:u w:val="single"/>
                        </w:rPr>
                        <w:t>. Hydrophobic Soils:</w:t>
                      </w:r>
                      <w:r w:rsidRPr="001C4256">
                        <w:rPr>
                          <w:i/>
                          <w:iCs/>
                          <w:color w:val="5B9BD5" w:themeColor="accent1"/>
                        </w:rPr>
                        <w:t xml:space="preserve"> when plant matter is burned during an intense fire, a waxy substance is released and it penetrates the soil as a gas. When the soil cools, this waxy substance hardens around soil particles and the soil becomes hydrophobic. Hydrophobic soils repel water and the amount of water that can infiltrate the soil is reduced. </w:t>
                      </w:r>
                    </w:p>
                  </w:txbxContent>
                </v:textbox>
                <w10:wrap type="square" anchorx="page"/>
              </v:shape>
            </w:pict>
          </mc:Fallback>
        </mc:AlternateContent>
      </w:r>
      <w:r w:rsidR="009450EE">
        <w:t xml:space="preserve">Soils deserve particular attention because soils and soil productivity are irreplaceable within human time </w:t>
      </w:r>
      <w:r w:rsidR="00303231">
        <w:t>frames,</w:t>
      </w:r>
      <w:r w:rsidR="009450EE">
        <w:t xml:space="preserve"> and are crucial to forest recovery, stream conditions, and hydrologic processes. </w:t>
      </w:r>
      <w:r w:rsidR="005712CD">
        <w:t>P</w:t>
      </w:r>
      <w:r w:rsidR="00137BDB">
        <w:t>ost-</w:t>
      </w:r>
      <w:r w:rsidR="00AD2298">
        <w:t>wildfire</w:t>
      </w:r>
      <w:r w:rsidR="00137BDB">
        <w:t xml:space="preserve"> salvage logging</w:t>
      </w:r>
      <w:r w:rsidR="005712CD">
        <w:t>, unless very carefully managed,</w:t>
      </w:r>
      <w:r w:rsidR="00137BDB">
        <w:t xml:space="preserve"> has negative effect</w:t>
      </w:r>
      <w:r w:rsidR="00695E10">
        <w:t>s</w:t>
      </w:r>
      <w:r w:rsidR="00137BDB">
        <w:t xml:space="preserve"> on forest soil</w:t>
      </w:r>
      <w:r w:rsidR="005712CD">
        <w:t>;</w:t>
      </w:r>
      <w:r w:rsidR="00137BDB">
        <w:t xml:space="preserve"> over and above the effects of crown fires alone (destruction of surface organic matter</w:t>
      </w:r>
      <w:r w:rsidR="00137BDB" w:rsidRPr="009E6CE0">
        <w:t xml:space="preserve"> </w:t>
      </w:r>
      <w:r w:rsidR="00137BDB">
        <w:t>causing soil erosion and loss of soil nitrogen).</w:t>
      </w:r>
      <w:r w:rsidR="00137BDB">
        <w:fldChar w:fldCharType="begin"/>
      </w:r>
      <w:r w:rsidR="004C2E00">
        <w:instrText xml:space="preserve"> ADDIN ZOTERO_ITEM CSL_CITATION {"citationID":"b3Q2qRBS","properties":{"formattedCitation":"{\\rtf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rsidR="00137BDB">
        <w:fldChar w:fldCharType="separate"/>
      </w:r>
      <w:r w:rsidR="004C2E00" w:rsidRPr="004C2E00">
        <w:rPr>
          <w:rFonts w:ascii="Calibri" w:hAnsi="Calibri" w:cs="Calibri"/>
          <w:szCs w:val="24"/>
          <w:vertAlign w:val="superscript"/>
        </w:rPr>
        <w:t>8</w:t>
      </w:r>
      <w:r w:rsidR="00137BDB">
        <w:fldChar w:fldCharType="end"/>
      </w:r>
      <w:r w:rsidR="00137BDB" w:rsidRPr="004109CC">
        <w:t xml:space="preserve"> </w:t>
      </w:r>
    </w:p>
    <w:p w14:paraId="79A17992" w14:textId="4C251F4F" w:rsidR="00137BDB" w:rsidRDefault="00AD2298" w:rsidP="00137BDB">
      <w:pPr>
        <w:jc w:val="both"/>
      </w:pPr>
      <w:r>
        <w:t>Wildfire</w:t>
      </w:r>
      <w:r w:rsidR="00137BDB">
        <w:t xml:space="preserve">-affected soils are especially vulnerable to additional disturbance (e.g., compaction or increased erosion), partly as a result of changes in soil processes </w:t>
      </w:r>
      <w:r w:rsidR="00EE4F4F">
        <w:t>caused by</w:t>
      </w:r>
      <w:r w:rsidR="00137BDB">
        <w:t xml:space="preserve"> intense burning that can produce hydrophobic soils (Box </w:t>
      </w:r>
      <w:r w:rsidR="00E7106B">
        <w:t>3</w:t>
      </w:r>
      <w:r w:rsidR="00137BDB">
        <w:fldChar w:fldCharType="begin"/>
      </w:r>
      <w:r w:rsidR="00787C48">
        <w:instrText xml:space="preserve"> ADDIN ZOTERO_ITEM CSL_CITATION {"citationID":"5OJ9Ud0l","properties":{"formattedCitation":"{\\rtf \\super 45\\nosupersub{}}","plainCitation":"45"},"citationItems":[{"id":757,"uris":["http://zotero.org/users/2487980/items/BZSR8PQ5"],"uri":["http://zotero.org/users/2487980/items/BZSR8PQ5"],"itemData":{"id":757,"type":"report","title":"Post-fire Site Rehabilitation: Final Report","genre":"Speical Investigation","URL":"https://www.for.gov.bc.ca/hfd/library/Documents/bib96820.pdf","number":"12","author":[{"family":"Forest Practices Board","given":""}],"issued":{"date-parts":[["2005"]]},"accessed":{"date-parts":[["2017",10,2]]}}}],"schema":"https://github.com/citation-style-language/schema/raw/master/csl-citation.json"} </w:instrText>
      </w:r>
      <w:r w:rsidR="00137BDB">
        <w:fldChar w:fldCharType="separate"/>
      </w:r>
      <w:r w:rsidR="00787C48" w:rsidRPr="00787C48">
        <w:rPr>
          <w:rFonts w:ascii="Calibri" w:hAnsi="Calibri" w:cs="Calibri"/>
          <w:szCs w:val="24"/>
          <w:vertAlign w:val="superscript"/>
        </w:rPr>
        <w:t>45</w:t>
      </w:r>
      <w:r w:rsidR="00137BDB">
        <w:fldChar w:fldCharType="end"/>
      </w:r>
      <w:r w:rsidR="00137BDB">
        <w:t>). Post-</w:t>
      </w:r>
      <w:r>
        <w:t>wildfire</w:t>
      </w:r>
      <w:r w:rsidR="00137BDB">
        <w:t xml:space="preserve"> salvage logging can further damage soils by compacting them, by removing vital organic material, and by interacting with hydrophobic soil conditions to increase the amount and duration of topsoil erosion and runoff, which in turn harms aquatic ecosystems. The potential for damage to soil and water resources is </w:t>
      </w:r>
      <w:r w:rsidR="003F0E09">
        <w:t>high</w:t>
      </w:r>
      <w:r w:rsidR="00137BDB">
        <w:t xml:space="preserve"> when ground-based machinery is used.</w:t>
      </w:r>
      <w:r w:rsidR="00137BDB">
        <w:fldChar w:fldCharType="begin"/>
      </w:r>
      <w:r w:rsidR="00787C48">
        <w:instrText xml:space="preserve"> ADDIN ZOTERO_ITEM CSL_CITATION {"citationID":"sACEaf6G","properties":{"formattedCitation":"{\\rtf \\super 10,46\\nosupersub{}}","plainCitation":"10,46"},"citationItems":[{"id":828,"uris":["http://zotero.org/users/2487980/items/5SNKBFKV"],"uri":["http://zotero.org/users/2487980/items/5SNKBFKV"],"itemData":{"id":828,"type":"article-journal","title":"The Effects of Postfire Salvage Logging on Aquatic Ecosystems in the American West","container-title":"BioScience","page":"1029-1033","volume":"54","issue":"11","source":"academic.oup.com","abstract":"Recent changes in the forest policies, regulations, and laws affecting public lands encourage postfire salvage logging, an activity that all too often delays or prevents recovery. In contrast, the 10 recommendations proposed here can improve the condition of watersheds and aquatic ecosystems.","DOI":"10.1641/0006-3568(2004)054[1029:TEOPSL]2.0.CO;2","ISSN":"0006-3568","journalAbbreviation":"BioScience","author":[{"family":"Karr","given":"James R."},{"family":"Rhodes","given":"Jonathan J."},{"family":"Minshall","given":"G. Wayne"},{"family":"Hauer","given":"F. Richard"},{"family":"Beschta","given":"Robert L."},{"family":"Frissell","given":"Christopher A."},{"family":"Perry","given":"David A."}],"issued":{"date-parts":[["2004",11,1]]}}},{"id":653,"uris":["http://zotero.org/users/2487980/items/58R43XQE"],"uri":["http://zotero.org/users/2487980/items/58R43XQE"],"itemData":{"id":653,"type":"article-journal","title":"Effects of Post-Fire Salvage Logging on Infiltration, Soil Compaction, and Erosion in Central California.","container-title":"AGU Fall Meeting Abstracts","volume":"43","source":"NASA ADS","abstract":"Post-fire salvage logging can be an economic concern for forest managers \nin recently burned areas. Previous studies have shown that logging\nactivities in burned areas can affect soil compaction, runoff, and\nerosion. Our objectives were to: (1) determine the effects of specific\nsalvage logging activities on field-saturated hydraulic conductivity\n(Kfs), (2) determine the relationship between soil compaction and Kfs,\nand (3) compare the sediment yields among different levels of salvage\nlogging disturbances. We established study plots at two spatial scales\nand multiple levels of logging impact in three sites severely burned by\nthe 2013 Rim Fire after salvage logging occurred in 2014-2015. At the\nhillslope scale ( 75 m2), plots represented a uniform disturbance\nincluding burned and unlogged controls, logged areas with no mechanical\ndisturbance, few pass skid trails (1-3 passes), and many pass skid\ntrails (4 or more passes). The small catchment scale ( 0.09-0.74 ha)\nreflected spatially distributed impacts of 5 levels of disturbance:\nburned, non-trafficked areas; feller-buncher tracks; few and many pass\nskid trails; and a combination of multiple disturbances. Across the\nthree sites we installed 27 hillslope plots (9 controls and 6 of each\ntype of uniform logging disturbance) and 14 small catchments (5 controls\nand 9 logged). Kfs was measured using a DualHead infiltrometer in each\nhillslope plot and in an area representative of each disturbance class\nin each catchment in summer 2015 and summer 2016. Compaction was\nmeasured using a bulk density core sampler at 0-5 and 5-10 cm adjacent\nto each Kfs measurement. Sediment yields were measured by silt fences\nthrough fall 2016. Few and many pass skid trails reduced Kfs, and these\nareas had 76% to 82% lower Kfs than the controls, respectively. Few and\nmany pass skid trails also increased the soil compaction relative to\nundisturbed controls. Control plots produced a mean annual sediment\nyield of 23 Mg ha-1, and the logged plots produced 50% more than this,\nwhereas the many pass skidder plots produced four times as much. Our\nresults show the logging equipment compacted the soil, which produced\nlower Kfs values, and high disturbance on few and many pass skid trails\nproduced more sediment yields than controls. Logging activities increase\ndisturbance, which can control sediment yields and Kfs.","URL":"http://adsabs.harvard.edu/abs/2016AGUFM.H43G1552D","journalAbbreviation":"AGU Fall Meeting Abstracts","author":[{"family":"Demirtas","given":"I."},{"family":"Wagenbrenner","given":"J. W."},{"family":"Olsen","given":"W."},{"family":"Robichaud","given":"P. R."}],"issued":{"date-parts":[["2016",12,1]]}}}],"schema":"https://github.com/citation-style-language/schema/raw/master/csl-citation.json"} </w:instrText>
      </w:r>
      <w:r w:rsidR="00137BDB">
        <w:fldChar w:fldCharType="separate"/>
      </w:r>
      <w:r w:rsidR="00787C48" w:rsidRPr="00787C48">
        <w:rPr>
          <w:rFonts w:ascii="Calibri" w:hAnsi="Calibri" w:cs="Calibri"/>
          <w:szCs w:val="24"/>
          <w:vertAlign w:val="superscript"/>
        </w:rPr>
        <w:t>10,46</w:t>
      </w:r>
      <w:r w:rsidR="00137BDB">
        <w:fldChar w:fldCharType="end"/>
      </w:r>
      <w:r w:rsidR="00137BDB">
        <w:t xml:space="preserve"> </w:t>
      </w:r>
    </w:p>
    <w:p w14:paraId="42C1DF88" w14:textId="0B04B6D5" w:rsidR="00137BDB" w:rsidRDefault="00137BDB" w:rsidP="00137BDB">
      <w:pPr>
        <w:jc w:val="both"/>
      </w:pPr>
      <w:r>
        <w:t xml:space="preserve">Another concern </w:t>
      </w:r>
      <w:r w:rsidRPr="00612A48">
        <w:t>is the potential for increased erosion susceptibility associat</w:t>
      </w:r>
      <w:r>
        <w:t xml:space="preserve">ed with </w:t>
      </w:r>
      <w:r w:rsidRPr="00612A48">
        <w:t>site preparation</w:t>
      </w:r>
      <w:r>
        <w:t xml:space="preserve"> to control </w:t>
      </w:r>
      <w:r w:rsidRPr="00612A48">
        <w:t>competing vegeta</w:t>
      </w:r>
      <w:r>
        <w:t>tion and remove slash. Site</w:t>
      </w:r>
      <w:r w:rsidRPr="00612A48">
        <w:t xml:space="preserve"> preparation techniques which inhibit growth of </w:t>
      </w:r>
      <w:r w:rsidRPr="00612A48">
        <w:lastRenderedPageBreak/>
        <w:t xml:space="preserve">vegetation may contribute to increased hillslope erosion in high-risk areas, especially when increased rainfall </w:t>
      </w:r>
      <w:r>
        <w:t>occurs.</w:t>
      </w:r>
      <w:r>
        <w:fldChar w:fldCharType="begin"/>
      </w:r>
      <w:r w:rsidR="009F50B6">
        <w:instrText xml:space="preserve"> ADDIN ZOTERO_ITEM CSL_CITATION {"citationID":"Q62qfPfI","properties":{"formattedCitation":"{\\rtf \\super 20\\nosupersub{}}","plainCitation":"20"},"citationItems":[{"id":730,"uris":["http://zotero.org/users/2487980/items/62SCVJII"],"uri":["http://zotero.org/users/2487980/items/62SCVJII"],"itemData":{"id":730,"type":"article-journal","title":"Hillslope erosion two and three years after wildfire, skyline salvage logging, and site preparation in southern Oregon, USA","container-title":"Forest Ecology and Management","page":"1-7","volume":"342","issue":"Supplement C","source":"ScienceDirect","abstract":"Harvest of dead timber following wildfire is contentious because of a perception that the benefits are outweighed by environmental costs. One primary concern is the potential for increased erosion susceptibility associated with timber extraction (i.e. salvage logging) and site preparation. We measured erosion at the Timbered Rock Fire in southwestern Oregon on replicated sites that were either salvage logged on private land or non-salvage logged on adjacent public lands. Sediment was collected from silt fences placed in locations with relatively uniform hillslope surface conditions beginning in 2004 (2years post fire) for a period of two years. Mean erosion was 0.02 and 0.05Mgha−1yr−1 for 2004–05, and 0.04 and 0.14Mgha−1yr−1 for 2005–06, for non-salvage and salvage-logged areas, respectively. Vegetation cover was much lower in the salvage-logged areas (5–20%) than the non-salvage areas (70–80%), and was negatively correlated with erosion in the first year of measurement (r=−0.58, p=0.02). Increased erosion at salvage-logged plots is most likely associated with competing vegetation control and slash removal, but may have also been caused by some other management factor or preexisting condition that differed between measurement locations on private and public land. Increased erosion in the second year of measurement at all sites was associated with increased rainfall and storm frequency. Although control of competing vegetation may be critical for successful tree establishment following wildfire, our results suggest that site preparation techniques which inhibit growth of vegetation may contribute to increased hillslope erosion in high-risk areas, especially when increased rainfall and storms occur.","DOI":"10.1016/j.foreco.2015.01.007","ISSN":"0378-1127","journalAbbreviation":"Forest Ecology and Management","author":[{"family":"Slesak","given":"Robert A."},{"family":"Schoenholtz","given":"Stephen H."},{"family":"Evans","given":"Daniel"}],"issued":{"date-parts":[["2015",4,15]]}}}],"schema":"https://github.com/citation-style-language/schema/raw/master/csl-citation.json"} </w:instrText>
      </w:r>
      <w:r>
        <w:fldChar w:fldCharType="separate"/>
      </w:r>
      <w:r w:rsidR="009F50B6" w:rsidRPr="009F50B6">
        <w:rPr>
          <w:rFonts w:ascii="Calibri" w:hAnsi="Calibri" w:cs="Calibri"/>
          <w:szCs w:val="24"/>
          <w:vertAlign w:val="superscript"/>
        </w:rPr>
        <w:t>20</w:t>
      </w:r>
      <w:r>
        <w:fldChar w:fldCharType="end"/>
      </w:r>
      <w:r>
        <w:t xml:space="preserve"> Erosion impacts of road construction are among the main impacts of post-</w:t>
      </w:r>
      <w:r w:rsidR="00AD2298">
        <w:t>wildfire</w:t>
      </w:r>
      <w:r>
        <w:t xml:space="preserve"> salvage logging on soil when the surface has been bared by </w:t>
      </w:r>
      <w:r w:rsidR="00AD2298">
        <w:t>wildfire</w:t>
      </w:r>
      <w:r>
        <w:t>. Skidding logs across bare ground disturbs and compacts soil. However, while compaction can be detrimental on clay</w:t>
      </w:r>
      <w:r w:rsidR="00016C77">
        <w:t>-based</w:t>
      </w:r>
      <w:r>
        <w:t xml:space="preserve"> soils, on sandy soils compaction may enhance plant growth.</w:t>
      </w:r>
      <w:r>
        <w:fldChar w:fldCharType="begin"/>
      </w:r>
      <w:r w:rsidR="004C2E00">
        <w:instrText xml:space="preserve"> ADDIN ZOTERO_ITEM CSL_CITATION {"citationID":"tneGiCij","properties":{"formattedCitation":"{\\rtf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r>
        <w:t xml:space="preserve"> Tractor logging and ground-based equipment on relatively level areas (&lt;30 percent slope) cause the most soil compaction, although some effects can be mitigated by avoiding wet soils, logging over snow, and operating over slash rather than areas with thin forest floors.</w:t>
      </w:r>
      <w:r>
        <w:fldChar w:fldCharType="begin"/>
      </w:r>
      <w:r w:rsidR="004C2E00">
        <w:instrText xml:space="preserve"> ADDIN ZOTERO_ITEM CSL_CITATION {"citationID":"E1P32r9V","properties":{"formattedCitation":"{\\rtf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p>
    <w:p w14:paraId="22A94A3C" w14:textId="1B9AB84D" w:rsidR="00137BDB" w:rsidRDefault="00137BDB" w:rsidP="00137BDB">
      <w:pPr>
        <w:pStyle w:val="Heading2"/>
      </w:pPr>
      <w:bookmarkStart w:id="57" w:name="_Toc498345454"/>
      <w:bookmarkStart w:id="58" w:name="_Toc498345842"/>
      <w:bookmarkStart w:id="59" w:name="_Toc498345912"/>
      <w:bookmarkStart w:id="60" w:name="_Toc498952958"/>
      <w:bookmarkStart w:id="61" w:name="_Toc503934754"/>
      <w:r>
        <w:t>Effects on water</w:t>
      </w:r>
      <w:bookmarkEnd w:id="57"/>
      <w:bookmarkEnd w:id="58"/>
      <w:bookmarkEnd w:id="59"/>
      <w:bookmarkEnd w:id="60"/>
      <w:bookmarkEnd w:id="61"/>
    </w:p>
    <w:p w14:paraId="5391B3DE" w14:textId="0D357008" w:rsidR="00137BDB" w:rsidRPr="0088537F" w:rsidRDefault="00AD2298" w:rsidP="00137BDB">
      <w:pPr>
        <w:jc w:val="both"/>
      </w:pPr>
      <w:r w:rsidRPr="0088537F">
        <w:t>Wildfires</w:t>
      </w:r>
      <w:r w:rsidR="00137BDB" w:rsidRPr="0088537F">
        <w:t xml:space="preserve"> cause the loss of forest cover which can result in reduced interception of precipitation and increased snow accumulation amounts. Snowmelt rates may also increase due to increased net radiation, and reduced transpiration rates can result in increased soil erosion. These effects result in greater soil/groundwater recharge and greater runoff in the burn</w:t>
      </w:r>
      <w:r w:rsidR="00FD5BDB">
        <w:t>t</w:t>
      </w:r>
      <w:r w:rsidR="00137BDB" w:rsidRPr="0088537F">
        <w:t xml:space="preserve"> watersheds during spring melt.</w:t>
      </w:r>
      <w:r w:rsidR="00137BDB" w:rsidRPr="0088537F">
        <w:fldChar w:fldCharType="begin"/>
      </w:r>
      <w:r w:rsidR="00787C48" w:rsidRPr="0088537F">
        <w:instrText xml:space="preserve"> ADDIN ZOTERO_ITEM CSL_CITATION {"citationID":"qYO78R4X","properties":{"formattedCitation":"{\\rtf \\super 11,47\\nosupersub{}}","plainCitation":"11,47"},"citationItems":[{"id":812,"uris":["http://zotero.org/users/2487980/items/E8RSUA6N"],"uri":["http://zotero.org/users/2487980/items/E8RSUA6N"],"itemData":{"id":812,"type":"article-journal","title":"Wildfire and Watershed Hydrology: Key Findings from a Workshop","container-title":"Streamline Watershed Management Bulletin","page":"1-4","volume":"13","issue":"1","author":[{"family":"Bladon","given":"Kevin D."},{"family":"Redding","given":"Todd"}],"issued":{"date-parts":[["2009"]]}}},{"id":785,"uris":["http://zotero.org/users/2487980/items/Z9JZQRRB"],"uri":["http://zotero.org/users/2487980/items/Z9JZQRRB"],"itemData":{"id":785,"type":"article-journal","title":"Southern Rockies Watershed Project","container-title":"The Forestry Chronicle","page":"39-42","volume":"92","issue":"01","source":"pubs.cif-ifc.org (Atypon)","abstract":"The Southern Rockies Watershed Project was initiated in 2003 to describe the impacts of severe natural disturbance by wildfire on a broad range of headwaters, larger river basin scale, and downstream water resources (Phase I). This watershed research is unique in that trans-disciplinary linkages between hydrology, biogeochemistry, aquatic ecology, downstream river basin processes, implications for human water use, and economic implications are providing broad insights into wildfire effects on water. A second phase of the research (Phase II) focuses on evaluating the effects of several alternative forest harvesting practices on these same water resource “values”. Collectively, this research is providing comprehensive information on watershed function after forest disturbance in Rocky Mountain watersheds.","DOI":"10.5558/tfc2016-012","ISSN":"0015-7546","journalAbbreviation":"The Forestry Chronicle","author":[{"family":"Silins","given":"Uldis"},{"family":"Anderson","given":"Axel"},{"family":"Bladon","given":"Kevin D."},{"family":"Emelko","given":"Monica B."},{"family":"Stone","given":"Micheal"},{"family":"Spencer","given":"Sheena A."},{"family":"Williams","given":"Chris H.S."},{"family":"Wagner","given":"Michael J."},{"family":"Martens","given":"Amanda M."},{"family":"Hawthorn","given":"Kirk"}],"issued":{"date-parts":[["2016",1,1]]}}}],"schema":"https://github.com/citation-style-language/schema/raw/master/csl-citation.json"} </w:instrText>
      </w:r>
      <w:r w:rsidR="00137BDB" w:rsidRPr="0088537F">
        <w:fldChar w:fldCharType="separate"/>
      </w:r>
      <w:r w:rsidR="00787C48" w:rsidRPr="0088537F">
        <w:rPr>
          <w:rFonts w:ascii="Calibri" w:hAnsi="Calibri" w:cs="Calibri"/>
          <w:szCs w:val="24"/>
          <w:vertAlign w:val="superscript"/>
        </w:rPr>
        <w:t>11,47</w:t>
      </w:r>
      <w:r w:rsidR="00137BDB" w:rsidRPr="0088537F">
        <w:fldChar w:fldCharType="end"/>
      </w:r>
      <w:r w:rsidR="00137BDB" w:rsidRPr="0088537F">
        <w:t xml:space="preserve"> Following wildfire, numerous changes in water quality are possible, with variable rates of recovery. Potential effects include increased turbidity, nutrients (e.g., nitrogen and phosphorus), dissolved organic carbon, heavy metals (e.g., mercury), and temperature.</w:t>
      </w:r>
      <w:r w:rsidR="00137BDB" w:rsidRPr="0088537F">
        <w:fldChar w:fldCharType="begin"/>
      </w:r>
      <w:r w:rsidR="00787C48" w:rsidRPr="0088537F">
        <w:instrText xml:space="preserve"> ADDIN ZOTERO_ITEM CSL_CITATION {"citationID":"BPeyYVPN","properties":{"formattedCitation":"{\\rtf \\super 47\\nosupersub{}}","plainCitation":"47"},"citationItems":[{"id":812,"uris":["http://zotero.org/users/2487980/items/E8RSUA6N"],"uri":["http://zotero.org/users/2487980/items/E8RSUA6N"],"itemData":{"id":812,"type":"article-journal","title":"Wildfire and Watershed Hydrology: Key Findings from a Workshop","container-title":"Streamline Watershed Management Bulletin","page":"1-4","volume":"13","issue":"1","author":[{"family":"Bladon","given":"Kevin D."},{"family":"Redding","given":"Todd"}],"issued":{"date-parts":[["2009"]]}}}],"schema":"https://github.com/citation-style-language/schema/raw/master/csl-citation.json"} </w:instrText>
      </w:r>
      <w:r w:rsidR="00137BDB" w:rsidRPr="0088537F">
        <w:fldChar w:fldCharType="separate"/>
      </w:r>
      <w:r w:rsidR="00787C48" w:rsidRPr="0088537F">
        <w:rPr>
          <w:rFonts w:ascii="Calibri" w:hAnsi="Calibri" w:cs="Calibri"/>
          <w:szCs w:val="24"/>
          <w:vertAlign w:val="superscript"/>
        </w:rPr>
        <w:t>47</w:t>
      </w:r>
      <w:r w:rsidR="00137BDB" w:rsidRPr="0088537F">
        <w:fldChar w:fldCharType="end"/>
      </w:r>
      <w:r w:rsidR="00137BDB" w:rsidRPr="0088537F">
        <w:t xml:space="preserve"> As discussed above, intense </w:t>
      </w:r>
      <w:r w:rsidRPr="0088537F">
        <w:t>wildfires</w:t>
      </w:r>
      <w:r w:rsidR="00137BDB" w:rsidRPr="0088537F">
        <w:t xml:space="preserve"> can create hydrophobic soils that impede water infiltration into the soil profile, creating a functionally shallow soil. </w:t>
      </w:r>
      <w:r w:rsidRPr="0088537F">
        <w:t>Wildfire</w:t>
      </w:r>
      <w:r w:rsidR="00137BDB" w:rsidRPr="0088537F">
        <w:t>-induced hydrophobicity is transient and often patchy.</w:t>
      </w:r>
      <w:r w:rsidR="00137BDB" w:rsidRPr="0088537F">
        <w:fldChar w:fldCharType="begin"/>
      </w:r>
      <w:r w:rsidR="004C2E00">
        <w:instrText xml:space="preserve"> ADDIN ZOTERO_ITEM CSL_CITATION {"citationID":"kGjvcRa1","properties":{"formattedCitation":"{\\rtf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rsidR="00137BDB" w:rsidRPr="0088537F">
        <w:fldChar w:fldCharType="separate"/>
      </w:r>
      <w:r w:rsidR="004C2E00" w:rsidRPr="004C2E00">
        <w:rPr>
          <w:rFonts w:ascii="Calibri" w:hAnsi="Calibri" w:cs="Calibri"/>
          <w:szCs w:val="24"/>
          <w:vertAlign w:val="superscript"/>
        </w:rPr>
        <w:t>8</w:t>
      </w:r>
      <w:r w:rsidR="00137BDB" w:rsidRPr="0088537F">
        <w:fldChar w:fldCharType="end"/>
      </w:r>
    </w:p>
    <w:p w14:paraId="17AE1DD9" w14:textId="48A6D87C" w:rsidR="00137BDB" w:rsidRDefault="00137BDB" w:rsidP="00137BDB">
      <w:pPr>
        <w:jc w:val="both"/>
      </w:pPr>
      <w:r w:rsidRPr="0088537F">
        <w:t>All of these effe</w:t>
      </w:r>
      <w:r w:rsidR="00303231" w:rsidRPr="0088537F">
        <w:t>cts can be amplified by salvage logging</w:t>
      </w:r>
      <w:r w:rsidRPr="0088537F">
        <w:t xml:space="preserve"> activities; especially the construction of roads, logging with ground-based equipment and cable yarding.</w:t>
      </w:r>
      <w:r w:rsidRPr="0088537F">
        <w:fldChar w:fldCharType="begin"/>
      </w:r>
      <w:r w:rsidR="004C2E00">
        <w:instrText xml:space="preserve"> ADDIN ZOTERO_ITEM CSL_CITATION {"citationID":"5PYK67Hv","properties":{"formattedCitation":"{\\rtf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rsidRPr="0088537F">
        <w:fldChar w:fldCharType="separate"/>
      </w:r>
      <w:r w:rsidR="004C2E00" w:rsidRPr="004C2E00">
        <w:rPr>
          <w:rFonts w:ascii="Calibri" w:hAnsi="Calibri" w:cs="Calibri"/>
          <w:szCs w:val="24"/>
          <w:vertAlign w:val="superscript"/>
        </w:rPr>
        <w:t>8</w:t>
      </w:r>
      <w:r w:rsidRPr="0088537F">
        <w:fldChar w:fldCharType="end"/>
      </w:r>
      <w:r w:rsidRPr="0088537F">
        <w:rPr>
          <w:vertAlign w:val="superscript"/>
        </w:rPr>
        <w:t>,</w:t>
      </w:r>
      <w:r w:rsidRPr="0088537F">
        <w:fldChar w:fldCharType="begin"/>
      </w:r>
      <w:r w:rsidR="00787C48" w:rsidRPr="0088537F">
        <w:instrText xml:space="preserve"> ADDIN ZOTERO_ITEM CSL_CITATION {"citationID":"WonHeV2N","properties":{"formattedCitation":"{\\rtf \\super 10,11,47\\nosupersub{}}","plainCitation":"10,11,47"},"citationItems":[{"id":812,"uris":["http://zotero.org/users/2487980/items/E8RSUA6N"],"uri":["http://zotero.org/users/2487980/items/E8RSUA6N"],"itemData":{"id":812,"type":"article-journal","title":"Wildfire and Watershed Hydrology: Key Findings from a Workshop","container-title":"Streamline Watershed Management Bulletin","page":"1-4","volume":"13","issue":"1","author":[{"family":"Bladon","given":"Kevin D."},{"family":"Redding","given":"Todd"}],"issued":{"date-parts":[["2009"]]}}},{"id":828,"uris":["http://zotero.org/users/2487980/items/5SNKBFKV"],"uri":["http://zotero.org/users/2487980/items/5SNKBFKV"],"itemData":{"id":828,"type":"article-journal","title":"The Effects of Postfire Salvage Logging on Aquatic Ecosystems in the American West","container-title":"BioScience","page":"1029-1033","volume":"54","issue":"11","source":"academic.oup.com","abstract":"Recent changes in the forest policies, regulations, and laws affecting public lands encourage postfire salvage logging, an activity that all too often delays or prevents recovery. In contrast, the 10 recommendations proposed here can improve the condition of watersheds and aquatic ecosystems.","DOI":"10.1641/0006-3568(2004)054[1029:TEOPSL]2.0.CO;2","ISSN":"0006-3568","journalAbbreviation":"BioScience","author":[{"family":"Karr","given":"James R."},{"family":"Rhodes","given":"Jonathan J."},{"family":"Minshall","given":"G. Wayne"},{"family":"Hauer","given":"F. Richard"},{"family":"Beschta","given":"Robert L."},{"family":"Frissell","given":"Christopher A."},{"family":"Perry","given":"David A."}],"issued":{"date-parts":[["2004",11,1]]}}},{"id":785,"uris":["http://zotero.org/users/2487980/items/Z9JZQRRB"],"uri":["http://zotero.org/users/2487980/items/Z9JZQRRB"],"itemData":{"id":785,"type":"article-journal","title":"Southern Rockies Watershed Project","container-title":"The Forestry Chronicle","page":"39-42","volume":"92","issue":"01","source":"pubs.cif-ifc.org (Atypon)","abstract":"The Southern Rockies Watershed Project was initiated in 2003 to describe the impacts of severe natural disturbance by wildfire on a broad range of headwaters, larger river basin scale, and downstream water resources (Phase I). This watershed research is unique in that trans-disciplinary linkages between hydrology, biogeochemistry, aquatic ecology, downstream river basin processes, implications for human water use, and economic implications are providing broad insights into wildfire effects on water. A second phase of the research (Phase II) focuses on evaluating the effects of several alternative forest harvesting practices on these same water resource “values”. Collectively, this research is providing comprehensive information on watershed function after forest disturbance in Rocky Mountain watersheds.","DOI":"10.5558/tfc2016-012","ISSN":"0015-7546","journalAbbreviation":"The Forestry Chronicle","author":[{"family":"Silins","given":"Uldis"},{"family":"Anderson","given":"Axel"},{"family":"Bladon","given":"Kevin D."},{"family":"Emelko","given":"Monica B."},{"family":"Stone","given":"Micheal"},{"family":"Spencer","given":"Sheena A."},{"family":"Williams","given":"Chris H.S."},{"family":"Wagner","given":"Michael J."},{"family":"Martens","given":"Amanda M."},{"family":"Hawthorn","given":"Kirk"}],"issued":{"date-parts":[["2016",1,1]]}}}],"schema":"https://github.com/citation-style-language/schema/raw/master/csl-citation.json"} </w:instrText>
      </w:r>
      <w:r w:rsidRPr="0088537F">
        <w:fldChar w:fldCharType="separate"/>
      </w:r>
      <w:r w:rsidR="00787C48" w:rsidRPr="0088537F">
        <w:rPr>
          <w:rFonts w:ascii="Calibri" w:hAnsi="Calibri" w:cs="Calibri"/>
          <w:szCs w:val="24"/>
          <w:vertAlign w:val="superscript"/>
        </w:rPr>
        <w:t>10,11,47</w:t>
      </w:r>
      <w:r w:rsidRPr="0088537F">
        <w:fldChar w:fldCharType="end"/>
      </w:r>
      <w:r w:rsidRPr="0088537F">
        <w:t xml:space="preserve"> In a</w:t>
      </w:r>
      <w:r>
        <w:t xml:space="preserve"> well-studied set of watersheds in western Alberta</w:t>
      </w:r>
      <w:r w:rsidR="00321C85">
        <w:t>,</w:t>
      </w:r>
      <w:r>
        <w:t xml:space="preserve"> sediment production was elevated in burn</w:t>
      </w:r>
      <w:r w:rsidR="00FD5BDB">
        <w:t>t</w:t>
      </w:r>
      <w:r>
        <w:t xml:space="preserve"> and salvage</w:t>
      </w:r>
      <w:r w:rsidR="00016C77">
        <w:t>-</w:t>
      </w:r>
      <w:r>
        <w:t>logged watersheds (nine and 37 times greater, respectively) compared to unburn</w:t>
      </w:r>
      <w:r w:rsidR="00FD5BDB">
        <w:t>t</w:t>
      </w:r>
      <w:r>
        <w:t xml:space="preserve"> catchments. This effect has shown no recovery </w:t>
      </w:r>
      <w:r w:rsidR="00D83ACE">
        <w:t>in the 11 years since</w:t>
      </w:r>
      <w:r>
        <w:t xml:space="preserve"> the </w:t>
      </w:r>
      <w:r w:rsidR="00AD2298">
        <w:t>wildfire</w:t>
      </w:r>
      <w:r>
        <w:t>.</w:t>
      </w:r>
      <w:r>
        <w:fldChar w:fldCharType="begin"/>
      </w:r>
      <w:r w:rsidR="0012005A">
        <w:instrText xml:space="preserve"> ADDIN ZOTERO_ITEM CSL_CITATION {"citationID":"a1ulu1n6s8n","properties":{"formattedCitation":"{\\rtf \\super 11\\nosupersub{}}","plainCitation":"11"},"citationItems":[{"id":785,"uris":["http://zotero.org/users/2487980/items/Z9JZQRRB"],"uri":["http://zotero.org/users/2487980/items/Z9JZQRRB"],"itemData":{"id":785,"type":"article-journal","title":"Southern Rockies Watershed Project","container-title":"The Forestry Chronicle","page":"39-42","volume":"92","issue":"01","source":"pubs.cif-ifc.org (Atypon)","abstract":"The Southern Rockies Watershed Project was initiated in 2003 to describe the impacts of severe natural disturbance by wildfire on a broad range of headwaters, larger river basin scale, and downstream water resources (Phase I). This watershed research is unique in that trans-disciplinary linkages between hydrology, biogeochemistry, aquatic ecology, downstream river basin processes, implications for human water use, and economic implications are providing broad insights into wildfire effects on water. A second phase of the research (Phase II) focuses on evaluating the effects of several alternative forest harvesting practices on these same water resource “values”. Collectively, this research is providing comprehensive information on watershed function after forest disturbance in Rocky Mountain watersheds.","DOI":"10.5558/tfc2016-012","ISSN":"0015-7546","journalAbbreviation":"The Forestry Chronicle","author":[{"family":"Silins","given":"Uldis"},{"family":"Anderson","given":"Axel"},{"family":"Bladon","given":"Kevin D."},{"family":"Emelko","given":"Monica B."},{"family":"Stone","given":"Micheal"},{"family":"Spencer","given":"Sheena A."},{"family":"Williams","given":"Chris H.S."},{"family":"Wagner","given":"Michael J."},{"family":"Martens","given":"Amanda M."},{"family":"Hawthorn","given":"Kirk"}],"issued":{"date-parts":[["2016",1,1]]}}}],"schema":"https://github.com/citation-style-language/schema/raw/master/csl-citation.json"} </w:instrText>
      </w:r>
      <w:r>
        <w:fldChar w:fldCharType="separate"/>
      </w:r>
      <w:r w:rsidR="0012005A" w:rsidRPr="007610F7">
        <w:rPr>
          <w:rFonts w:ascii="Calibri" w:hAnsi="Calibri" w:cs="Calibri"/>
          <w:szCs w:val="24"/>
          <w:vertAlign w:val="superscript"/>
        </w:rPr>
        <w:t>11</w:t>
      </w:r>
      <w:r>
        <w:fldChar w:fldCharType="end"/>
      </w:r>
      <w:r>
        <w:t xml:space="preserve"> Dissolved organic carbon (DOC) and turbidity are water quality parameters that are important to drinking water providers. In the area</w:t>
      </w:r>
      <w:r w:rsidR="00321C85">
        <w:t>,</w:t>
      </w:r>
      <w:r>
        <w:t xml:space="preserve"> DOC concentrations of 4–5 mg/l (near or above which is known to pose additional water treatment challenges) were exceeded in salvage-logged, burn</w:t>
      </w:r>
      <w:r w:rsidR="00FD5BDB">
        <w:t>t</w:t>
      </w:r>
      <w:r>
        <w:t xml:space="preserve"> and unburn</w:t>
      </w:r>
      <w:r w:rsidR="00FD5BDB">
        <w:t>t</w:t>
      </w:r>
      <w:r>
        <w:t xml:space="preserve"> catchments about 50%, 8%, and 4% of the time, respectively. Turbidity exceeded the 10</w:t>
      </w:r>
      <w:r w:rsidR="00016C77">
        <w:t xml:space="preserve"> Nephelometric Turbidity Unit</w:t>
      </w:r>
      <w:r>
        <w:t xml:space="preserve"> </w:t>
      </w:r>
      <w:r w:rsidR="00016C77">
        <w:t>(</w:t>
      </w:r>
      <w:r>
        <w:t>NTU</w:t>
      </w:r>
      <w:r w:rsidR="00016C77">
        <w:t>)</w:t>
      </w:r>
      <w:r>
        <w:t xml:space="preserve"> threshold about 18%, 10%, and 2% of the time, respectively.</w:t>
      </w:r>
      <w:r>
        <w:fldChar w:fldCharType="begin"/>
      </w:r>
      <w:r w:rsidR="0012005A">
        <w:instrText xml:space="preserve"> ADDIN ZOTERO_ITEM CSL_CITATION {"citationID":"a2cs4dlb11p","properties":{"formattedCitation":"{\\rtf \\super 11\\nosupersub{}}","plainCitation":"11"},"citationItems":[{"id":785,"uris":["http://zotero.org/users/2487980/items/Z9JZQRRB"],"uri":["http://zotero.org/users/2487980/items/Z9JZQRRB"],"itemData":{"id":785,"type":"article-journal","title":"Southern Rockies Watershed Project","container-title":"The Forestry Chronicle","page":"39-42","volume":"92","issue":"01","source":"pubs.cif-ifc.org (Atypon)","abstract":"The Southern Rockies Watershed Project was initiated in 2003 to describe the impacts of severe natural disturbance by wildfire on a broad range of headwaters, larger river basin scale, and downstream water resources (Phase I). This watershed research is unique in that trans-disciplinary linkages between hydrology, biogeochemistry, aquatic ecology, downstream river basin processes, implications for human water use, and economic implications are providing broad insights into wildfire effects on water. A second phase of the research (Phase II) focuses on evaluating the effects of several alternative forest harvesting practices on these same water resource “values”. Collectively, this research is providing comprehensive information on watershed function after forest disturbance in Rocky Mountain watersheds.","DOI":"10.5558/tfc2016-012","ISSN":"0015-7546","journalAbbreviation":"The Forestry Chronicle","author":[{"family":"Silins","given":"Uldis"},{"family":"Anderson","given":"Axel"},{"family":"Bladon","given":"Kevin D."},{"family":"Emelko","given":"Monica B."},{"family":"Stone","given":"Micheal"},{"family":"Spencer","given":"Sheena A."},{"family":"Williams","given":"Chris H.S."},{"family":"Wagner","given":"Michael J."},{"family":"Martens","given":"Amanda M."},{"family":"Hawthorn","given":"Kirk"}],"issued":{"date-parts":[["2016",1,1]]}}}],"schema":"https://github.com/citation-style-language/schema/raw/master/csl-citation.json"} </w:instrText>
      </w:r>
      <w:r>
        <w:fldChar w:fldCharType="separate"/>
      </w:r>
      <w:r w:rsidR="0012005A" w:rsidRPr="007610F7">
        <w:rPr>
          <w:rFonts w:ascii="Calibri" w:hAnsi="Calibri" w:cs="Calibri"/>
          <w:szCs w:val="24"/>
          <w:vertAlign w:val="superscript"/>
        </w:rPr>
        <w:t>11</w:t>
      </w:r>
      <w:r>
        <w:fldChar w:fldCharType="end"/>
      </w:r>
      <w:r w:rsidR="00A455C5">
        <w:t xml:space="preserve"> </w:t>
      </w:r>
      <w:r>
        <w:t>Long</w:t>
      </w:r>
      <w:r w:rsidR="00016C77">
        <w:t>-</w:t>
      </w:r>
      <w:r>
        <w:t>term sedimentation impacts were</w:t>
      </w:r>
      <w:r w:rsidR="00DB0D33">
        <w:t xml:space="preserve"> also</w:t>
      </w:r>
      <w:r>
        <w:t xml:space="preserve"> found following wildfire salvage in the western U</w:t>
      </w:r>
      <w:r w:rsidR="00016C77">
        <w:t>.</w:t>
      </w:r>
      <w:r>
        <w:t>S</w:t>
      </w:r>
      <w:r w:rsidR="00016C77">
        <w:t>.</w:t>
      </w:r>
      <w:r>
        <w:t>, where sedimentation differences between control and ground</w:t>
      </w:r>
      <w:r w:rsidR="00016C77">
        <w:t>-</w:t>
      </w:r>
      <w:r>
        <w:t>skidded plots worsened over time as the control plots recovered more rapidly</w:t>
      </w:r>
      <w:r w:rsidR="00EE4F4F">
        <w:t>.</w:t>
      </w:r>
      <w:r>
        <w:fldChar w:fldCharType="begin"/>
      </w:r>
      <w:r w:rsidR="00787C48">
        <w:instrText xml:space="preserve"> ADDIN ZOTERO_ITEM CSL_CITATION {"citationID":"hIeXMXTl","properties":{"formattedCitation":"{\\rtf \\super 48\\nosupersub{}}","plainCitation":"48"},"citationItems":[{"id":721,"uris":["http://zotero.org/users/2487980/items/MHH37CE4"],"uri":["http://zotero.org/users/2487980/items/MHH37CE4"],"itemData":{"id":721,"type":"article-journal","title":"Effects of post-fire salvage logging and a skid trail treatment on ground cover, soils, and sediment production in the interior western United States","container-title":"Forest Ecology and Management","page":"176-193","volume":"335","source":"ScienceDirect","abstract":"Post-fire salvage logging adds another set of environmental effects to recently burned areas, and previous studies have reported varying impacts on vegetation, soil disturbance, and sediment production with limited data on the underlying processes. Our objectives were to determine how: (1) ground-based post-fire logging affects surface cover, soil water repellency, soil compaction, and vegetative regrowth; (2) different types of logging disturbance affect sediment production at the plot and small catchment (“swale”) scales; and (3) applying logging slash to skid trails affects soil properties, vegetative regrowth, and sediment production. Four study areas were established in severely burned forests in the interior western USA. We installed plots at two study areas to compare burned but unlogged controls against skid trails, feller-buncher trails, and skid trails with added slash. Salvage logged and control swales were established at each study area, but only one study area had simultaneous measurements on replicated swales. Data were collected for 0-2 years prior to logging and from 2-8 years after logging.\nThe skidder and feller-buncher plots generally had greater compaction, less soil water repellency, and slower vegetative regrowth than the controls. Sediment production from the skidder plots was 10–100 times the value from the controls. The slightly less compacted feller-buncher plots produced only 10–30% as much sediment as the skidder plots, but regrowth was similarly inhibited. The relative differences in sediment production between the disturbed plots and the controls tended to increase over time as the controls exhibited more rapid regrowth. Adding slash to skid trails increased total ground cover by 20–30% and reduced the sediment yields by 5–50 times compared to the untreated skidder plots.\nThe replicated logged swales at one study area generally had higher sediment production rates than their controls but the absolute values per unit area were much lower than from the skidder and feller-buncher plots. Results from the swales at the other study areas indicated that logging did not increase runoff, peak flows, or sediment yields.\nVegetative regrowth and sediment production rates varied widely among the four study areas. This variation was largely due to differences in rainfall and soil properties, with the more productive sites having more rapid regrowth and thereby a more rapid reduction in sediment production. The susceptibility to surface runoff and erosion after high severity fires suggests that areas disturbed by ground-based salvage logging need additional mitigation practices.","DOI":"10.1016/j.foreco.2014.09.016","ISSN":"0378-1127","journalAbbreviation":"Forest Ecology and Management","author":[{"family":"Wagenbrenner","given":"Joseph W."},{"family":"MacDonald","given":"Lee H."},{"family":"Coats","given":"Robert N."},{"family":"Robichaud","given":"Peter R."},{"family":"Brown","given":"Robert E."}],"issued":{"date-parts":[["2015",1,1]]}}}],"schema":"https://github.com/citation-style-language/schema/raw/master/csl-citation.json"} </w:instrText>
      </w:r>
      <w:r>
        <w:fldChar w:fldCharType="separate"/>
      </w:r>
      <w:r w:rsidR="00787C48" w:rsidRPr="00787C48">
        <w:rPr>
          <w:rFonts w:ascii="Calibri" w:hAnsi="Calibri" w:cs="Calibri"/>
          <w:szCs w:val="24"/>
          <w:vertAlign w:val="superscript"/>
        </w:rPr>
        <w:t>48</w:t>
      </w:r>
      <w:r>
        <w:fldChar w:fldCharType="end"/>
      </w:r>
      <w:r>
        <w:t xml:space="preserve"> </w:t>
      </w:r>
    </w:p>
    <w:p w14:paraId="0DBBCB47" w14:textId="2428F762" w:rsidR="00137BDB" w:rsidRDefault="00137BDB" w:rsidP="00137BDB">
      <w:pPr>
        <w:jc w:val="both"/>
      </w:pPr>
      <w:r w:rsidRPr="0088537F">
        <w:t>These results indicate that salvage logging may cause significant difficulties for water purveyors. Protection of source water may be more effective and less expensive than dealing with the impacts of salvage logging through increased levels</w:t>
      </w:r>
      <w:r w:rsidR="00FB7F0A" w:rsidRPr="0088537F">
        <w:t xml:space="preserve"> of post-logging rehabilitation</w:t>
      </w:r>
      <w:r w:rsidRPr="0088537F">
        <w:t>.</w:t>
      </w:r>
      <w:r w:rsidRPr="0088537F">
        <w:fldChar w:fldCharType="begin"/>
      </w:r>
      <w:r w:rsidR="00787C48" w:rsidRPr="0088537F">
        <w:instrText xml:space="preserve"> ADDIN ZOTERO_ITEM CSL_CITATION {"citationID":"abf9c9u0gt","properties":{"formattedCitation":"{\\rtf \\super 47\\nosupersub{}}","plainCitation":"47"},"citationItems":[{"id":812,"uris":["http://zotero.org/users/2487980/items/E8RSUA6N"],"uri":["http://zotero.org/users/2487980/items/E8RSUA6N"],"itemData":{"id":812,"type":"article-journal","title":"Wildfire and Watershed Hydrology: Key Findings from a Workshop","container-title":"Streamline Watershed Management Bulletin","page":"1-4","volume":"13","issue":"1","author":[{"family":"Bladon","given":"Kevin D."},{"family":"Redding","given":"Todd"}],"issued":{"date-parts":[["2009"]]}}}],"schema":"https://github.com/citation-style-language/schema/raw/master/csl-citation.json"} </w:instrText>
      </w:r>
      <w:r w:rsidRPr="0088537F">
        <w:fldChar w:fldCharType="separate"/>
      </w:r>
      <w:r w:rsidR="00787C48" w:rsidRPr="0088537F">
        <w:rPr>
          <w:rFonts w:ascii="Calibri" w:hAnsi="Calibri" w:cs="Calibri"/>
          <w:szCs w:val="24"/>
          <w:vertAlign w:val="superscript"/>
        </w:rPr>
        <w:t>47</w:t>
      </w:r>
      <w:r w:rsidRPr="0088537F">
        <w:fldChar w:fldCharType="end"/>
      </w:r>
    </w:p>
    <w:p w14:paraId="7872142B" w14:textId="6DFD2CF3" w:rsidR="00137BDB" w:rsidRDefault="00137BDB" w:rsidP="00137BDB">
      <w:pPr>
        <w:jc w:val="both"/>
      </w:pPr>
      <w:r w:rsidRPr="00EF0B95">
        <w:t>Changes in hydrology can contribute to</w:t>
      </w:r>
      <w:r w:rsidR="00614707" w:rsidRPr="00EF0B95">
        <w:t xml:space="preserve"> a statistically significant</w:t>
      </w:r>
      <w:r w:rsidRPr="00EF0B95">
        <w:t xml:space="preserve"> increase </w:t>
      </w:r>
      <w:r w:rsidR="00614707" w:rsidRPr="00EF0B95">
        <w:t xml:space="preserve">in </w:t>
      </w:r>
      <w:r w:rsidRPr="00EF0B95">
        <w:t>numbers of landslides, floods, debris flows and other mass-movement events in susceptible terrain</w:t>
      </w:r>
      <w:r w:rsidR="00EE4F4F" w:rsidRPr="00EF0B95">
        <w:t>,</w:t>
      </w:r>
      <w:r w:rsidRPr="00EF0B95">
        <w:t xml:space="preserve"> following severe wildfire in snow-dominated environments.</w:t>
      </w:r>
      <w:r w:rsidRPr="00EF0B95">
        <w:fldChar w:fldCharType="begin"/>
      </w:r>
      <w:r w:rsidR="0012005A" w:rsidRPr="00EF0B95">
        <w:instrText xml:space="preserve"> ADDIN ZOTERO_ITEM CSL_CITATION {"citationID":"PkRKtiR9","properties":{"formattedCitation":"{\\rtf \\super 12\\nosupersub{}}","plainCitation":"12"},"citationItems":[{"id":782,"uris":["http://zotero.org/users/2487980/items/FAKIBWJT"],"uri":["http://zotero.org/users/2487980/items/FAKIBWJT"],"itemData":{"id":782,"type":"article-journal","title":"Post-wildfire debris flows in southern British Columbia, Canada","container-title":"International Journal of Wildland Fire","page":"322-336","volume":"25","issue":"3","source":"www.publish.csiro.au","abstract":"Several post-wildfire debris flows and other landslides occurred after the extreme wildfire season of 2003 in the southern interior of British Columbia. Such events had not been previously reported in Canada, although they are common in lower latitudes. Severe wildfire seasons also were experienced in 2007 and 2009, and additional events were observed in four fires. Post-wildfire landslides have occurred in spring, summer and fall (autumn); events have been triggered by spring snowmelt, high-intensity summer rainstorms and low-intensity fall rainstorms. Of a total of 36 documented events, 23 were debris flows, and the most common initiating mechanism was high peak flow in channels. Most sediment in these events was derived from the channels, not from erosion in burned areas. Seven of the events were infiltration-triggered debris slides, and six events were debris floods. A variety of hydrologic changes can contribute to the prevalence of post-wildfire landslides and floods, including an increase in snowmelt rate. High-severity burn in catchment headwaters above steep channels is a topographic factor favouring debris flow occurrence. These observations demonstrate that the likelihood of debris flows and other mass-movement events in susceptible terrain is significantly increased following severe wildfire in this snow-dominated environment.","DOI":"10.1071/WF14070","ISSN":"1448-5516","journalAbbreviation":"Int. J. Wildland Fire","language":"en","author":[{"family":"Jordan","given":"Peter"}],"issued":{"date-parts":[["2016",3,24]]}}}],"schema":"https://github.com/citation-style-language/schema/raw/master/csl-citation.json"} </w:instrText>
      </w:r>
      <w:r w:rsidRPr="00EF0B95">
        <w:fldChar w:fldCharType="separate"/>
      </w:r>
      <w:r w:rsidR="0012005A" w:rsidRPr="00EF0B95">
        <w:rPr>
          <w:rFonts w:ascii="Calibri" w:hAnsi="Calibri" w:cs="Calibri"/>
          <w:szCs w:val="24"/>
          <w:vertAlign w:val="superscript"/>
        </w:rPr>
        <w:t>12</w:t>
      </w:r>
      <w:r w:rsidRPr="00EF0B95">
        <w:fldChar w:fldCharType="end"/>
      </w:r>
      <w:r w:rsidRPr="00EF0B95">
        <w:t xml:space="preserve"> Post-</w:t>
      </w:r>
      <w:r w:rsidR="00AD2298" w:rsidRPr="00EF0B95">
        <w:t>wildfire</w:t>
      </w:r>
      <w:r w:rsidRPr="00EF0B95">
        <w:t xml:space="preserve"> salvage logging </w:t>
      </w:r>
      <w:r w:rsidR="000155AF" w:rsidRPr="00EF0B95">
        <w:t xml:space="preserve">may </w:t>
      </w:r>
      <w:r w:rsidRPr="00EF0B95">
        <w:t>increase mass wasting and deliver more terrestrial sediment to stream channels than burn</w:t>
      </w:r>
      <w:r w:rsidR="00FD5BDB">
        <w:t>t</w:t>
      </w:r>
      <w:r w:rsidRPr="00EF0B95">
        <w:t xml:space="preserve"> watersheds without salvage logging. Salvage logging </w:t>
      </w:r>
      <w:r w:rsidR="000155AF" w:rsidRPr="00EF0B95">
        <w:t xml:space="preserve">may </w:t>
      </w:r>
      <w:r w:rsidRPr="00EF0B95">
        <w:t>increase</w:t>
      </w:r>
      <w:r w:rsidR="00614707" w:rsidRPr="00EF0B95">
        <w:t xml:space="preserve"> </w:t>
      </w:r>
      <w:r w:rsidRPr="00EF0B95">
        <w:t xml:space="preserve">the risk of sedimentation regardless of equipment type and amount of traffic. The increased sediment production and consequent deterioration in water quality associated with salvage should be understood as a trade-off against the positive values of salvage </w:t>
      </w:r>
      <w:r w:rsidR="0006212C" w:rsidRPr="00EF0B95">
        <w:t>logging</w:t>
      </w:r>
      <w:r w:rsidRPr="00EF0B95">
        <w:t>.</w:t>
      </w:r>
      <w:r w:rsidRPr="00EF0B95">
        <w:fldChar w:fldCharType="begin"/>
      </w:r>
      <w:r w:rsidR="00787C48" w:rsidRPr="00EF0B95">
        <w:instrText xml:space="preserve"> ADDIN ZOTERO_ITEM CSL_CITATION {"citationID":"aganm2r9es","properties":{"formattedCitation":"{\\rtf \\super 49\\nosupersub{}}","plainCitation":"49"},"citationItems":[{"id":788,"uris":["http://zotero.org/users/2487980/items/AGZPX3MG"],"uri":["http://zotero.org/users/2487980/items/AGZPX3MG"],"itemData":{"id":788,"type":"article-journal","title":"Sediment production following severe wildfire and post-fire salvage logging in the Rocky Mountain headwaters of the Oldman River Basin, Alberta","container-title":"CATENA","collection-title":"Sediment Sources and Sediment Delivery under Environmental Change","page":"189-197","volume":"79","issue":"3","source":"ScienceDirect","abstract":"In 2003, the Lost Creek fire burned 21,000 ha of nearly contiguous crown land forests in the headwater regions of the Oldman River Basin, Alberta. Seven small watersheds with various levels of land disturbance (burned, post-fire salvage logged, unburned) were instrumented and monitored for four years to measure stream discharge, sediment concentration, and sediment yields for a range of dominant flow periods characteristic of the region (baseflow, spring melt, and stormflow). Stream discharges reflected runoff regimes consistent with high regional precipitation and the high relief physiographic setting of the study area. Suspended sediment concentrations and yields were significantly higher in both burned and post-fire salvage logged watersheds than in unburned watersheds and were strongly influenced by topographic and hydro-climatic controls. Sediment availability was much higher in both the burned and post-fire salvage logged watersheds but it varied strongly with flow condition, particularly during the snowmelt freshet and high flow events. Because of increases in wildfire frequency and severity over recent decades, understanding the range of impacts from both wildfire and post-disturbance management strategies such as salvage logging is likely to become increasingly important for land managers.","DOI":"10.1016/j.catena.2009.04.001","ISSN":"0341-8162","journalAbbreviation":"CATENA","author":[{"family":"Silins","given":"Uldis"},{"family":"Stone","given":"Micheal"},{"family":"Emelko","given":"Monica B."},{"family":"Bladon","given":"Kevin D."}],"issued":{"date-parts":[["2009",12,15]]}}}],"schema":"https://github.com/citation-style-language/schema/raw/master/csl-citation.json"} </w:instrText>
      </w:r>
      <w:r w:rsidRPr="00EF0B95">
        <w:fldChar w:fldCharType="separate"/>
      </w:r>
      <w:r w:rsidR="00787C48" w:rsidRPr="00EF0B95">
        <w:rPr>
          <w:rFonts w:ascii="Calibri" w:hAnsi="Calibri" w:cs="Calibri"/>
          <w:szCs w:val="24"/>
          <w:vertAlign w:val="superscript"/>
        </w:rPr>
        <w:t>49</w:t>
      </w:r>
      <w:r w:rsidRPr="00EF0B95">
        <w:fldChar w:fldCharType="end"/>
      </w:r>
    </w:p>
    <w:p w14:paraId="4B7CAA5C" w14:textId="254B2105" w:rsidR="00137BDB" w:rsidRDefault="00137BDB" w:rsidP="00137BDB">
      <w:pPr>
        <w:jc w:val="both"/>
      </w:pPr>
      <w:r>
        <w:lastRenderedPageBreak/>
        <w:t>S</w:t>
      </w:r>
      <w:r w:rsidRPr="00477205">
        <w:t>pecific best management practices are needed to mitigate the hydrologic impac</w:t>
      </w:r>
      <w:r>
        <w:t>ts of post-</w:t>
      </w:r>
      <w:r w:rsidR="00AD2298">
        <w:t>wildfire</w:t>
      </w:r>
      <w:r>
        <w:t xml:space="preserve"> salvage logging to reduce the impacts on post-</w:t>
      </w:r>
      <w:r w:rsidR="00AD2298">
        <w:t>wildfire</w:t>
      </w:r>
      <w:r>
        <w:t xml:space="preserve"> sediment production and delivery to the stream network.</w:t>
      </w:r>
      <w:r>
        <w:fldChar w:fldCharType="begin"/>
      </w:r>
      <w:r w:rsidR="00787C48">
        <w:instrText xml:space="preserve"> ADDIN ZOTERO_ITEM CSL_CITATION {"citationID":"RzmC8iud","properties":{"formattedCitation":"{\\rtf \\super 46,48\\nosupersub{}}","plainCitation":"46,48"},"citationItems":[{"id":721,"uris":["http://zotero.org/users/2487980/items/MHH37CE4"],"uri":["http://zotero.org/users/2487980/items/MHH37CE4"],"itemData":{"id":721,"type":"article-journal","title":"Effects of post-fire salvage logging and a skid trail treatment on ground cover, soils, and sediment production in the interior western United States","container-title":"Forest Ecology and Management","page":"176-193","volume":"335","source":"ScienceDirect","abstract":"Post-fire salvage logging adds another set of environmental effects to recently burned areas, and previous studies have reported varying impacts on vegetation, soil disturbance, and sediment production with limited data on the underlying processes. Our objectives were to determine how: (1) ground-based post-fire logging affects surface cover, soil water repellency, soil compaction, and vegetative regrowth; (2) different types of logging disturbance affect sediment production at the plot and small catchment (“swale”) scales; and (3) applying logging slash to skid trails affects soil properties, vegetative regrowth, and sediment production. Four study areas were established in severely burned forests in the interior western USA. We installed plots at two study areas to compare burned but unlogged controls against skid trails, feller-buncher trails, and skid trails with added slash. Salvage logged and control swales were established at each study area, but only one study area had simultaneous measurements on replicated swales. Data were collected for 0-2 years prior to logging and from 2-8 years after logging.\nThe skidder and feller-buncher plots generally had greater compaction, less soil water repellency, and slower vegetative regrowth than the controls. Sediment production from the skidder plots was 10–100 times the value from the controls. The slightly less compacted feller-buncher plots produced only 10–30% as much sediment as the skidder plots, but regrowth was similarly inhibited. The relative differences in sediment production between the disturbed plots and the controls tended to increase over time as the controls exhibited more rapid regrowth. Adding slash to skid trails increased total ground cover by 20–30% and reduced the sediment yields by 5–50 times compared to the untreated skidder plots.\nThe replicated logged swales at one study area generally had higher sediment production rates than their controls but the absolute values per unit area were much lower than from the skidder and feller-buncher plots. Results from the swales at the other study areas indicated that logging did not increase runoff, peak flows, or sediment yields.\nVegetative regrowth and sediment production rates varied widely among the four study areas. This variation was largely due to differences in rainfall and soil properties, with the more productive sites having more rapid regrowth and thereby a more rapid reduction in sediment production. The susceptibility to surface runoff and erosion after high severity fires suggests that areas disturbed by ground-based salvage logging need additional mitigation practices.","DOI":"10.1016/j.foreco.2014.09.016","ISSN":"0378-1127","journalAbbreviation":"Forest Ecology and Management","author":[{"family":"Wagenbrenner","given":"Joseph W."},{"family":"MacDonald","given":"Lee H."},{"family":"Coats","given":"Robert N."},{"family":"Robichaud","given":"Peter R."},{"family":"Brown","given":"Robert E."}],"issued":{"date-parts":[["2015",1,1]]}}},{"id":653,"uris":["http://zotero.org/users/2487980/items/58R43XQE"],"uri":["http://zotero.org/users/2487980/items/58R43XQE"],"itemData":{"id":653,"type":"article-journal","title":"Effects of Post-Fire Salvage Logging on Infiltration, Soil Compaction, and Erosion in Central California.","container-title":"AGU Fall Meeting Abstracts","volume":"43","source":"NASA ADS","abstract":"Post-fire salvage logging can be an economic concern for forest managers \nin recently burned areas. Previous studies have shown that logging\nactivities in burned areas can affect soil compaction, runoff, and\nerosion. Our objectives were to: (1) determine the effects of specific\nsalvage logging activities on field-saturated hydraulic conductivity\n(Kfs), (2) determine the relationship between soil compaction and Kfs,\nand (3) compare the sediment yields among different levels of salvage\nlogging disturbances. We established study plots at two spatial scales\nand multiple levels of logging impact in three sites severely burned by\nthe 2013 Rim Fire after salvage logging occurred in 2014-2015. At the\nhillslope scale ( 75 m2), plots represented a uniform disturbance\nincluding burned and unlogged controls, logged areas with no mechanical\ndisturbance, few pass skid trails (1-3 passes), and many pass skid\ntrails (4 or more passes). The small catchment scale ( 0.09-0.74 ha)\nreflected spatially distributed impacts of 5 levels of disturbance:\nburned, non-trafficked areas; feller-buncher tracks; few and many pass\nskid trails; and a combination of multiple disturbances. Across the\nthree sites we installed 27 hillslope plots (9 controls and 6 of each\ntype of uniform logging disturbance) and 14 small catchments (5 controls\nand 9 logged). Kfs was measured using a DualHead infiltrometer in each\nhillslope plot and in an area representative of each disturbance class\nin each catchment in summer 2015 and summer 2016. Compaction was\nmeasured using a bulk density core sampler at 0-5 and 5-10 cm adjacent\nto each Kfs measurement. Sediment yields were measured by silt fences\nthrough fall 2016. Few and many pass skid trails reduced Kfs, and these\nareas had 76% to 82% lower Kfs than the controls, respectively. Few and\nmany pass skid trails also increased the soil compaction relative to\nundisturbed controls. Control plots produced a mean annual sediment\nyield of 23 Mg ha-1, and the logged plots produced 50% more than this,\nwhereas the many pass skidder plots produced four times as much. Our\nresults show the logging equipment compacted the soil, which produced\nlower Kfs values, and high disturbance on few and many pass skid trails\nproduced more sediment yields than controls. Logging activities increase\ndisturbance, which can control sediment yields and Kfs.","URL":"http://adsabs.harvard.edu/abs/2016AGUFM.H43G1552D","journalAbbreviation":"AGU Fall Meeting Abstracts","author":[{"family":"Demirtas","given":"I."},{"family":"Wagenbrenner","given":"J. W."},{"family":"Olsen","given":"W."},{"family":"Robichaud","given":"P. R."}],"issued":{"date-parts":[["2016",12,1]]}}}],"schema":"https://github.com/citation-style-language/schema/raw/master/csl-citation.json"} </w:instrText>
      </w:r>
      <w:r>
        <w:fldChar w:fldCharType="separate"/>
      </w:r>
      <w:r w:rsidR="00787C48" w:rsidRPr="00787C48">
        <w:rPr>
          <w:rFonts w:ascii="Calibri" w:hAnsi="Calibri" w:cs="Calibri"/>
          <w:szCs w:val="24"/>
          <w:vertAlign w:val="superscript"/>
        </w:rPr>
        <w:t>46,48</w:t>
      </w:r>
      <w:r>
        <w:fldChar w:fldCharType="end"/>
      </w:r>
      <w:r>
        <w:t xml:space="preserve"> The potential for salvage </w:t>
      </w:r>
      <w:r w:rsidR="0006212C">
        <w:t>logging</w:t>
      </w:r>
      <w:r>
        <w:t xml:space="preserve"> to cause soil disturbance should be considered in consultation with soils specialists prior to commencing any operations.</w:t>
      </w:r>
      <w:r>
        <w:fldChar w:fldCharType="begin"/>
      </w:r>
      <w:r w:rsidR="00787C48">
        <w:instrText xml:space="preserve"> ADDIN ZOTERO_ITEM CSL_CITATION {"citationID":"a2atrqegrof","properties":{"formattedCitation":"{\\rtf \\super 50\\nosupersub{}}","plainCitation":"50"},"citationItems":[{"id":817,"uris":["http://zotero.org/users/2487980/items/3N775W52"],"uri":["http://zotero.org/users/2487980/items/3N775W52"],"itemData":{"id":817,"type":"report","title":"Post-wildfire natural hazards risk analysis in British Columbia","collection-title":"Land Management Handbook","publisher":"MFLNRO","publisher-place":"Victoria BC","page":"63","event-place":"Victoria BC","URL":"https://www.for.gov.bc.ca/hfd/pubs/Docs/Lmh/Lmh69.htm","number":"69","author":[{"family":"Hope","given":"G."},{"family":"Jordan","given":"P."},{"family":"Winkler","given":"R"},{"family":"Giles","given":"T.r."},{"family":"Curran","given":"M"},{"family":"Soneff","given":"K"},{"family":"Chapman","given":"B"}],"issued":{"date-parts":[["2015"]]},"accessed":{"date-parts":[["2017",10,15]]}}}],"schema":"https://github.com/citation-style-language/schema/raw/master/csl-citation.json"} </w:instrText>
      </w:r>
      <w:r>
        <w:fldChar w:fldCharType="separate"/>
      </w:r>
      <w:r w:rsidR="00787C48" w:rsidRPr="00787C48">
        <w:rPr>
          <w:rFonts w:ascii="Calibri" w:hAnsi="Calibri" w:cs="Calibri"/>
          <w:szCs w:val="24"/>
          <w:vertAlign w:val="superscript"/>
        </w:rPr>
        <w:t>50</w:t>
      </w:r>
      <w:r>
        <w:fldChar w:fldCharType="end"/>
      </w:r>
    </w:p>
    <w:p w14:paraId="08A06544" w14:textId="3A3B6F3A" w:rsidR="00137BDB" w:rsidRDefault="00137BDB" w:rsidP="00137BDB">
      <w:pPr>
        <w:pStyle w:val="Heading2"/>
      </w:pPr>
      <w:bookmarkStart w:id="62" w:name="_Toc498345455"/>
      <w:bookmarkStart w:id="63" w:name="_Toc498345843"/>
      <w:bookmarkStart w:id="64" w:name="_Toc498345913"/>
      <w:bookmarkStart w:id="65" w:name="_Toc498952959"/>
      <w:bookmarkStart w:id="66" w:name="_Toc503934755"/>
      <w:r>
        <w:t>Effects on timber and sustainable forests</w:t>
      </w:r>
      <w:bookmarkEnd w:id="62"/>
      <w:bookmarkEnd w:id="63"/>
      <w:bookmarkEnd w:id="64"/>
      <w:bookmarkEnd w:id="65"/>
      <w:bookmarkEnd w:id="66"/>
    </w:p>
    <w:p w14:paraId="0C598D04" w14:textId="687F921D" w:rsidR="00137BDB" w:rsidRDefault="00137BDB" w:rsidP="00137BDB">
      <w:pPr>
        <w:jc w:val="both"/>
      </w:pPr>
      <w:r>
        <w:t>Research indicates that a possible outcome of multiple, interacting disturbances under a changing climate may be a shift to lower</w:t>
      </w:r>
      <w:r w:rsidR="00016C77">
        <w:t>-</w:t>
      </w:r>
      <w:r>
        <w:t xml:space="preserve">value forests; for example, </w:t>
      </w:r>
      <w:r w:rsidR="000155AF">
        <w:t xml:space="preserve">the prevalence of </w:t>
      </w:r>
      <w:r>
        <w:t>species with lower timber values or lower</w:t>
      </w:r>
      <w:r w:rsidR="00016C77">
        <w:t>-</w:t>
      </w:r>
      <w:r>
        <w:t>density forests.</w:t>
      </w:r>
      <w:r>
        <w:fldChar w:fldCharType="begin"/>
      </w:r>
      <w:r w:rsidR="009F50B6">
        <w:instrText xml:space="preserve"> ADDIN ZOTERO_ITEM CSL_CITATION {"citationID":"CnE2yfzI","properties":{"formattedCitation":"{\\rtf \\super 28,40\\nosupersub{}}","plainCitation":"28,40"},"citationItems":[{"id":716,"uris":["http://zotero.org/users/2487980/items/2UHGA8AN"],"uri":["http://zotero.org/users/2487980/items/2UHGA8AN"],"itemData":{"id":716,"type":"article-journal","title":"Disturbance interactions can impact resilience mechanisms of forests","container-title":"Ecosphere","page":"1-13","volume":"2","issue":"5","source":"Wiley Online Library","abstract":"Interactions between multiple disturbances are of special concern in ecology due to their potential for non-linear behavior and long-lasting legacies on landscape structure and function. If multiple disturbances overcome the ecological resilience of a system, alternate stable states are possible. Increases in the frequency and severity of disturbance events as a result of climate change heighten this concern. This study directly addresses the question of ecosystem resilience in the face of multiple disturbances. We investigated a gradient of disturbance interaction severities between two events in a subalpine forest, a 1997 windstorm (variable severity) and a 2002 wildfire (high-severity). A third disturbance, salvage logging of blowdown (1999–2001) prior to the fire, served as a de facto experimental treatment. Ninety-nine study plots were established across the disturbance gradient, including fire-only areas for a baseline fire response. Modeling indicated that the combination of two severe disturbances created novel conditions which exceeded the resilience mechanisms of the system. Modeled mean fire residence time and temperature (First Order Fire Effects Model, FOFEM), as well as mean distance to potential seed sources, increased as a result of the interaction. Regeneration 8 years post-fire was essentially absent in medium- to high-severity blowdown + fire plots, whereas low-severity blowdown + fire and fire-only areas showed strong regeneration. Blowdown + salvage + fire had significantly higher regeneration than areas of comparable blowdown, suggesting that fuel loading drove the interaction. CART analysis supported this hypothesis. Multiple disturbances have the potential to create surprising situations and reduce the resilience of an ecosystem. Differential recovery as a result of a “novel disturbance” created by compounding events will likely have long lasting legacies across the landscape.","DOI":"10.1890/ES11-00038.1","ISSN":"2150-8925","language":"en","author":[{"family":"Buma","given":"B."},{"family":"Wessman","given":"C. A."}],"issued":{"date-parts":[["2011",5,1]]}}},{"id":907,"uris":["http://zotero.org/users/2487980/items/S8SSXB9R"],"uri":["http://zotero.org/users/2487980/items/S8SSXB9R"],"itemData":{"id":907,"type":"article-journal","title":"Climate Drives Episodic Conifer Establishment after Fire in Dry Ponderosa Pine Forests of the Colorado Front Range, USA","container-title":"Forests","page":"159","volume":"8","issue":"5","source":"www.mdpi.com","abstract":"In recent years, warming climate and increased fire activity have raised concern about post-fire recovery of western U.S. forests. We assessed relationships between climate variability and tree establishment after fire in dry ponderosa pine forests of the Colorado Front Range. We harvested and aged over 400 post-fire juvenile ponderosa pine (Pinus ponderosa) and Douglas-fir (Pseudotsuga menziesii) trees using an improved tree-ring based approach that yielded annually-resolved dates and then assessed relationships between climate variability and pulses of tree establishment. We found that tree establishment was largely concentrated in years of above-average moisture availability in the growing season, including higher amounts of precipitation and more positive values of the Palmer Drought Severity Index. Under continued climate change, drier conditions associated with warming temperatures may limit forest recovery after fire, which could result in lower stand densities or shifts to non-forested vegetation in some areas.","DOI":"10.3390/f8050159","language":"en","author":[{"family":"Rother","given":"Monica T."},{"family":"Veblen","given":"Thomas T."}],"issued":{"date-parts":[["2017",5,8]]}}}],"schema":"https://github.com/citation-style-language/schema/raw/master/csl-citation.json"} </w:instrText>
      </w:r>
      <w:r>
        <w:fldChar w:fldCharType="separate"/>
      </w:r>
      <w:r w:rsidR="009F50B6" w:rsidRPr="009F50B6">
        <w:rPr>
          <w:rFonts w:ascii="Calibri" w:hAnsi="Calibri" w:cs="Calibri"/>
          <w:szCs w:val="24"/>
          <w:vertAlign w:val="superscript"/>
        </w:rPr>
        <w:t>28,40</w:t>
      </w:r>
      <w:r>
        <w:fldChar w:fldCharType="end"/>
      </w:r>
      <w:r w:rsidRPr="002E7A7C">
        <w:rPr>
          <w:vertAlign w:val="superscript"/>
        </w:rPr>
        <w:t>,</w:t>
      </w:r>
      <w:r>
        <w:fldChar w:fldCharType="begin"/>
      </w:r>
      <w:r w:rsidR="00787C48">
        <w:instrText xml:space="preserve"> ADDIN ZOTERO_ITEM CSL_CITATION {"citationID":"a1ta1fgk45f","properties":{"formattedCitation":"{\\rtf \\super 44\\nosupersub{}}","plainCitation":"44"},"citationItems":[{"id":938,"uris":["http://zotero.org/users/2487980/items/GTHSCDPJ"],"uri":["http://zotero.org/users/2487980/items/GTHSCDPJ"],"itemData":{"id":938,"type":"article-journal","title":"Three large fire years threaten resilience of closed crown black spruce forests in eastern Canada","container-title":"Ecosphere","page":"1-20","volume":"4","issue":"5","source":"Wiley Online Library","abstract":"An emerging paradigm regarding vegetation response to climate warming is that the interaction of weather extremes and disturbance will trigger abrupt changes in ecosystem types by overcoming resilience of dominant species. Black spruce (Picea mariana (Mill.)) ecosystems are widespread across the North American boreal forest, because of ecophysiological adaptations that allowed these communities to thrive in fire-prone areas. We investigated resilience of spruce-moss forests to weather-disturbance interaction after a 3-year period (2005 to 2007) of major fire activity caused by extreme fire weather in eastern Canada. Pre- and post-fire conifer densities and environmental parameters related to seed rain, post-fire seedbeds, microclimate, and post-fire weather were measured in 133 burned stands throughout the closed-crown forest of Quebec. Critically low black spruce (BS) regeneration was observed in almost all of the stands, leading to a decrease in stand density and a shift of species dominance from BS to jack pine (Pinus banksiana (Lamb.), JP). The studied sites were characterized by thick residual organic matter, resulting in a predominance of charred duff, a seedbed associated with low water retention and high variation in temperature. While high levels of JP seedling establishment were reported on this seedbed, it was unfavorable to BS germination and survival in the context of warm and dry weather that prevailed in post-fire summers. In these ecosystems, early vegetation establishment patterns are generally reliable predictors of future stand composition and the exclusion of BS will presumably be maintained through succession. During large fire years, high proportions of the landscape are subjected to the interaction of fire regime and weather that creates unsuitable conditions for BS regeneration. Hence, vegetation change is susceptible to happen at a broad scale. Therefore, the frequency of major fire years could have a decisive influence on the rate of vegetation response to climate change in this biome.","DOI":"10.1890/ES13-00038.1","ISSN":"2150-8925","language":"en","author":[{"family":"Boiffin","given":"J."},{"family":"Munson","given":"A. D."}],"issued":{"date-parts":[["2013",5,1]]}}}],"schema":"https://github.com/citation-style-language/schema/raw/master/csl-citation.json"} </w:instrText>
      </w:r>
      <w:r>
        <w:fldChar w:fldCharType="separate"/>
      </w:r>
      <w:r w:rsidR="00787C48" w:rsidRPr="00787C48">
        <w:rPr>
          <w:rFonts w:ascii="Calibri" w:hAnsi="Calibri" w:cs="Calibri"/>
          <w:szCs w:val="24"/>
          <w:vertAlign w:val="superscript"/>
        </w:rPr>
        <w:t>44</w:t>
      </w:r>
      <w:r>
        <w:fldChar w:fldCharType="end"/>
      </w:r>
      <w:r>
        <w:t xml:space="preserve"> This is a particular concern given the dominance of </w:t>
      </w:r>
      <w:r w:rsidR="00DB0D33">
        <w:t xml:space="preserve">dry </w:t>
      </w:r>
      <w:r>
        <w:t>ecosystems affected by the wildfires,</w:t>
      </w:r>
      <w:r>
        <w:fldChar w:fldCharType="begin"/>
      </w:r>
      <w:r w:rsidR="00787C48">
        <w:instrText xml:space="preserve"> ADDIN ZOTERO_ITEM CSL_CITATION {"citationID":"a2fal8efr2t","properties":{"formattedCitation":"{\\rtf \\super 51\\nosupersub{}}","plainCitation":"51"},"citationItems":[{"id":825,"uris":["http://zotero.org/users/2487980/items/9KP84PVU"],"uri":["http://zotero.org/users/2487980/items/9KP84PVU"],"itemData":{"id":825,"type":"article-journal","title":"Limited conifer regeneration following wildfires in dry ponderosa pine forests of the Colorado Front Range","container-title":"Ecosphere","page":"n/a-n/a","volume":"7","issue":"12","source":"Wiley Online Library","abstract":"In recent years, increased wildfire activity and climate change have raised concern among scientists and land managers regarding current and future vegetation patterns in post-burn landscapes. We surveyed conifer regeneration 8–15 years after fire in six burn areas in the lower montane zone of the Colorado Front Range. We sampled across a broad range of elevations, aspects, and fire severities and found that densities of ponderosa pine (Pinus ponderosa) and Douglas-fir (Pseudotsuga menziesii) are generally low, although areas of abundant regeneration do occur. Conifer regeneration was most limited in xeric settings, including more southerly aspects and elevations closer to lower treeline. Additionally, fewer juvenile conifers occurred at greater distances from mature, live trees indicating that seed source as well as topoclimatic setting limits post-fire tree regeneration. Projecting the extent of future forest cover is uncertain due to the possibility of future pulses of tree establishment and unknown depletion rates of existing seedling populations. However, current patterns of post-fire seedling establishment suggest that vegetation composition and structure may differ notably from historic patterns and that lower density stands and even non-forested communities may persist in some areas of these burns long after fire, especially in xeric settings or where no nearby seed source remains.","DOI":"10.1002/ecs2.1594","ISSN":"2150-8925","journalAbbreviation":"Ecosphere","language":"en","author":[{"family":"Rother","given":"Monica T."},{"family":"Veblen","given":"Thomas T."}],"issued":{"date-parts":[["2016",12,1]]}}}],"schema":"https://github.com/citation-style-language/schema/raw/master/csl-citation.json"} </w:instrText>
      </w:r>
      <w:r>
        <w:fldChar w:fldCharType="separate"/>
      </w:r>
      <w:r w:rsidR="00787C48" w:rsidRPr="00787C48">
        <w:rPr>
          <w:rFonts w:ascii="Calibri" w:hAnsi="Calibri" w:cs="Calibri"/>
          <w:szCs w:val="24"/>
          <w:vertAlign w:val="superscript"/>
        </w:rPr>
        <w:t>51</w:t>
      </w:r>
      <w:r>
        <w:fldChar w:fldCharType="end"/>
      </w:r>
      <w:r>
        <w:t xml:space="preserve"> and there is speculation that similar effects may be observed in BC.</w:t>
      </w:r>
      <w:r>
        <w:fldChar w:fldCharType="begin"/>
      </w:r>
      <w:r w:rsidR="00787C48">
        <w:instrText xml:space="preserve"> ADDIN ZOTERO_ITEM CSL_CITATION {"citationID":"Bms8yhas","properties":{"formattedCitation":"{\\rtf \\super 52\\nosupersub{}}","plainCitation":"52"},"citationItems":[{"id":853,"uris":["http://zotero.org/users/2487980/items/62RWU9D7"],"uri":["http://zotero.org/users/2487980/items/62RWU9D7"],"itemData":{"id":853,"type":"article-journal","title":"Learning to live with fire","container-title":"BC Forest Professional","page":"20 - 21","volume":"24","issue":"6","author":[{"family":"Burton","given":"Phil"}],"issued":{"date-parts":[["2017"]]}}}],"schema":"https://github.com/citation-style-language/schema/raw/master/csl-citation.json"} </w:instrText>
      </w:r>
      <w:r>
        <w:fldChar w:fldCharType="separate"/>
      </w:r>
      <w:r w:rsidR="00787C48" w:rsidRPr="00787C48">
        <w:rPr>
          <w:rFonts w:ascii="Calibri" w:hAnsi="Calibri" w:cs="Calibri"/>
          <w:szCs w:val="24"/>
          <w:vertAlign w:val="superscript"/>
        </w:rPr>
        <w:t>52</w:t>
      </w:r>
      <w:r>
        <w:fldChar w:fldCharType="end"/>
      </w:r>
      <w:r>
        <w:t xml:space="preserve"> P</w:t>
      </w:r>
      <w:r w:rsidRPr="0002371C">
        <w:t>ost-</w:t>
      </w:r>
      <w:r w:rsidR="00AD2298">
        <w:t>wildfire</w:t>
      </w:r>
      <w:r w:rsidRPr="0002371C">
        <w:t xml:space="preserve"> </w:t>
      </w:r>
      <w:r>
        <w:t>salvage logging</w:t>
      </w:r>
      <w:r w:rsidRPr="0002371C">
        <w:t xml:space="preserve"> </w:t>
      </w:r>
      <w:r>
        <w:t>has been shown to have both negligible</w:t>
      </w:r>
      <w:r>
        <w:fldChar w:fldCharType="begin"/>
      </w:r>
      <w:r w:rsidR="00787C48">
        <w:instrText xml:space="preserve"> ADDIN ZOTERO_ITEM CSL_CITATION {"citationID":"AGBUdl3q","properties":{"formattedCitation":"{\\rtf \\super 53\\nosupersub{}}","plainCitation":"53"},"citationItems":[{"id":668,"uris":["http://zotero.org/users/2487980/items/VRC3ZEU9"],"uri":["http://zotero.org/users/2487980/items/VRC3ZEU9"],"itemData":{"id":668,"type":"article-journal","title":"Post-fire logging produces minimal persistent impacts on understory vegetation in northeastern Oregon, USA","container-title":"Forest Ecology and Management","page":"56-64","volume":"370","source":"ScienceDirect","abstract":"Post-fire forest management commonly requires accepting some negative ecological impacts from management activities in order to achieve management objectives. Managers need to know, however, whether ecological impacts from post-fire management activities are transient or cause long-term ecosystem degradation. We studied the long-term response of understory vegetation to two post-fire logging treatments – commercial salvage logging with and without additional fuel reduction logging – on a long-term post-fire logging experiment in northeastern Oregon, USA. We sampled understory plant cover and species diversity on 10–11 sampling plots within each of nine experimental treatment units to see if post-fire logging treatments produced any lasting effects on understory plant cover, species diversity, community composition, or exotic species cover. Post-fire logging treatments produced no significant effects on understory vegetation cover, diversity, or community composition 15 years after treatment. We found no significant treatment effects on graminoid, forb, woody plant, or exotic plant cover and species richness, and differences among treatment means were generally small. Differences in treatment means were larger at the individual species level, but were only statistically significant for one native grass, California brome (Bromus carinatus), which responded differently to the two logging treatments. Multivariate analysis of understory plant communities across 91 sample plots found two major gradients in understory plant community composition, one correlated with regenerating forest (sapling) density and one correlated with residual overstory tree density, suggesting that initial fire severity (tree mortality) and post-fire regeneration may have greater long-term impacts on post-fire understory vegetation than post-fire logging. This study demonstrates that understory vegetation can be resilient to post-fire logging, particularly when best management practices, like logging over snow, are used to limit damage to soils and understory vegetation. Further research is needed to establish the generality of our results and to identify sources of variability in understory plant community responses to wildfire and post-fire logging. If further research confirms our findings, post-fire logging debates will be able to focus more on how to mitigate short-term disturbance impacts and manage fire-killed trees to meet wildlife habitat, fuel reduction, and economic objectives, and less on concerns over long-term ecosystem degradation.","DOI":"10.1016/j.foreco.2016.04.004","ISSN":"0378-1127","journalAbbreviation":"Forest Ecology and Management","author":[{"family":"Peterson","given":"David W."},{"family":"Dodson","given":"Erich Kyle"}],"issued":{"date-parts":[["2016",6,15]]}}}],"schema":"https://github.com/citation-style-language/schema/raw/master/csl-citation.json"} </w:instrText>
      </w:r>
      <w:r>
        <w:fldChar w:fldCharType="separate"/>
      </w:r>
      <w:r w:rsidR="00787C48" w:rsidRPr="00787C48">
        <w:rPr>
          <w:rFonts w:ascii="Calibri" w:hAnsi="Calibri" w:cs="Calibri"/>
          <w:szCs w:val="24"/>
          <w:vertAlign w:val="superscript"/>
        </w:rPr>
        <w:t>53</w:t>
      </w:r>
      <w:r>
        <w:fldChar w:fldCharType="end"/>
      </w:r>
      <w:r>
        <w:t xml:space="preserve"> and negative effects on succession,</w:t>
      </w:r>
      <w:r>
        <w:fldChar w:fldCharType="begin"/>
      </w:r>
      <w:r w:rsidR="00787C48">
        <w:instrText xml:space="preserve"> ADDIN ZOTERO_ITEM CSL_CITATION {"citationID":"Bakqd73v","properties":{"formattedCitation":"{\\rtf \\super 54\\nosupersub{}}","plainCitation":"54"},"citationItems":[{"id":655,"uris":["http://zotero.org/users/2487980/items/DHI6RSNC"],"uri":["http://zotero.org/users/2487980/items/DHI6RSNC"],"itemData":{"id":655,"type":"article-journal","title":"Post-Fire Salvage Logging Imposes a New Disturbance that Retards Succession: The Case of Bryophyte Communities in a Macaronesian Laurel Forest","container-title":"Forests","page":"252","volume":"8","issue":"7","source":"www.mdpi.com","abstract":"Post-fire salvage logging (SL) is a common management action that involves the harvesting of burnt trees. As a consequence, a large amount of biological legacies in the form of logs and other coarse woody debris are removed from the post-fire habitat, creating a more simplified landscape. Therefore, SL could act as an additional disturbance over that produced by fire. In this study, we seek to determine the effect of SL on the regeneration of the bryophyte community of a laurel forest from the Canary Islands (Spain). We hypothesized that SL will act as an additional disturbance and, consequently, salvaged areas will have a higher difference in community composition with respect to a reference ecosystem (RE). Mosses and liverworts were sampled 22 months after the salvage operations in salvaged plots, non-salvaged, and in an RE represented by areas of the original forest. Species richness did not differ between salvage and non-salvaged treatments. However, multivariate analysis and species-indicator analysis showed that non-salvaged plots had a composition closer to that of the RE, with a higher proportion of closed-canopy, perennial, and long-lived species, as well as some epiphytes. By contrast, salvaged plots were dominated by early-successional terrestrial species and species preferring open habitats. We conclude that post-fire SL represents an additional disturbance that further delays succession, a result that is consistent with previous studies using other taxonomic groups. SL should therefore be avoided or, if implemented, the possibility of leaving part of the post-fire biological legacies in situ should be considered.","DOI":"10.3390/f8070252","shortTitle":"Post-Fire Salvage Logging Imposes a New Disturbance that Retards Succession","language":"en","author":[{"family":"Hernández-Hernández","given":"Raquel"},{"family":"Castro","given":"Jorge"},{"family":"Del Arco-Aguilar","given":"Marcelino"},{"family":"Fernández-López","given":"Ángel"},{"family":"González-Mancebo","given":"Juana María"}],"issued":{"date-parts":[["2017",7,15]]}}}],"schema":"https://github.com/citation-style-language/schema/raw/master/csl-citation.json"} </w:instrText>
      </w:r>
      <w:r>
        <w:fldChar w:fldCharType="separate"/>
      </w:r>
      <w:r w:rsidR="00787C48" w:rsidRPr="00787C48">
        <w:rPr>
          <w:rFonts w:ascii="Calibri" w:hAnsi="Calibri" w:cs="Calibri"/>
          <w:szCs w:val="24"/>
          <w:vertAlign w:val="superscript"/>
        </w:rPr>
        <w:t>54</w:t>
      </w:r>
      <w:r>
        <w:fldChar w:fldCharType="end"/>
      </w:r>
      <w:r>
        <w:t xml:space="preserve"> leading to conclusions that best management practices are necessary to mitigate the negative effects of salvage logging, such as leaving </w:t>
      </w:r>
      <w:r w:rsidRPr="0002371C">
        <w:t>post-</w:t>
      </w:r>
      <w:r w:rsidR="00AD2298">
        <w:t>wildfire</w:t>
      </w:r>
      <w:r w:rsidRPr="0002371C">
        <w:t xml:space="preserve"> biological legacies </w:t>
      </w:r>
      <w:r w:rsidRPr="00227E1D">
        <w:rPr>
          <w:i/>
        </w:rPr>
        <w:t>in sit</w:t>
      </w:r>
      <w:r w:rsidRPr="001C4256">
        <w:rPr>
          <w:i/>
        </w:rPr>
        <w:t>u</w:t>
      </w:r>
      <w:r w:rsidR="00614707">
        <w:rPr>
          <w:i/>
        </w:rPr>
        <w:t xml:space="preserve"> </w:t>
      </w:r>
      <w:r w:rsidR="00614707" w:rsidRPr="00EF0B95">
        <w:t>(</w:t>
      </w:r>
      <w:r w:rsidR="00614707">
        <w:t xml:space="preserve">i.e., </w:t>
      </w:r>
      <w:r w:rsidR="00614707" w:rsidRPr="00EF0B95">
        <w:t>in</w:t>
      </w:r>
      <w:r w:rsidR="00614707">
        <w:t>tact, in</w:t>
      </w:r>
      <w:r w:rsidR="00614707" w:rsidRPr="00EF0B95">
        <w:t xml:space="preserve"> place)</w:t>
      </w:r>
      <w:r w:rsidR="00321C85">
        <w:rPr>
          <w:i/>
        </w:rPr>
        <w:t>,</w:t>
      </w:r>
      <w:r>
        <w:fldChar w:fldCharType="begin"/>
      </w:r>
      <w:r w:rsidR="00787C48">
        <w:instrText xml:space="preserve"> ADDIN ZOTERO_ITEM CSL_CITATION {"citationID":"amUPT1YB","properties":{"formattedCitation":"{\\rtf \\super 54\\nosupersub{}}","plainCitation":"54"},"citationItems":[{"id":655,"uris":["http://zotero.org/users/2487980/items/DHI6RSNC"],"uri":["http://zotero.org/users/2487980/items/DHI6RSNC"],"itemData":{"id":655,"type":"article-journal","title":"Post-Fire Salvage Logging Imposes a New Disturbance that Retards Succession: The Case of Bryophyte Communities in a Macaronesian Laurel Forest","container-title":"Forests","page":"252","volume":"8","issue":"7","source":"www.mdpi.com","abstract":"Post-fire salvage logging (SL) is a common management action that involves the harvesting of burnt trees. As a consequence, a large amount of biological legacies in the form of logs and other coarse woody debris are removed from the post-fire habitat, creating a more simplified landscape. Therefore, SL could act as an additional disturbance over that produced by fire. In this study, we seek to determine the effect of SL on the regeneration of the bryophyte community of a laurel forest from the Canary Islands (Spain). We hypothesized that SL will act as an additional disturbance and, consequently, salvaged areas will have a higher difference in community composition with respect to a reference ecosystem (RE). Mosses and liverworts were sampled 22 months after the salvage operations in salvaged plots, non-salvaged, and in an RE represented by areas of the original forest. Species richness did not differ between salvage and non-salvaged treatments. However, multivariate analysis and species-indicator analysis showed that non-salvaged plots had a composition closer to that of the RE, with a higher proportion of closed-canopy, perennial, and long-lived species, as well as some epiphytes. By contrast, salvaged plots were dominated by early-successional terrestrial species and species preferring open habitats. We conclude that post-fire SL represents an additional disturbance that further delays succession, a result that is consistent with previous studies using other taxonomic groups. SL should therefore be avoided or, if implemented, the possibility of leaving part of the post-fire biological legacies in situ should be considered.","DOI":"10.3390/f8070252","shortTitle":"Post-Fire Salvage Logging Imposes a New Disturbance that Retards Succession","language":"en","author":[{"family":"Hernández-Hernández","given":"Raquel"},{"family":"Castro","given":"Jorge"},{"family":"Del Arco-Aguilar","given":"Marcelino"},{"family":"Fernández-López","given":"Ángel"},{"family":"González-Mancebo","given":"Juana María"}],"issued":{"date-parts":[["2017",7,15]]}}}],"schema":"https://github.com/citation-style-language/schema/raw/master/csl-citation.json"} </w:instrText>
      </w:r>
      <w:r>
        <w:fldChar w:fldCharType="separate"/>
      </w:r>
      <w:r w:rsidR="00787C48" w:rsidRPr="00787C48">
        <w:rPr>
          <w:rFonts w:ascii="Calibri" w:hAnsi="Calibri" w:cs="Calibri"/>
          <w:szCs w:val="24"/>
          <w:vertAlign w:val="superscript"/>
        </w:rPr>
        <w:t>54</w:t>
      </w:r>
      <w:r>
        <w:fldChar w:fldCharType="end"/>
      </w:r>
      <w:r>
        <w:t xml:space="preserve"> and </w:t>
      </w:r>
      <w:r w:rsidRPr="005B4109">
        <w:t>logging over snow</w:t>
      </w:r>
      <w:r>
        <w:t xml:space="preserve"> </w:t>
      </w:r>
      <w:r w:rsidRPr="005B4109">
        <w:t>to limit damage to soils and understory vegetation</w:t>
      </w:r>
      <w:r>
        <w:t>.</w:t>
      </w:r>
      <w:r>
        <w:fldChar w:fldCharType="begin"/>
      </w:r>
      <w:r w:rsidR="00787C48">
        <w:instrText xml:space="preserve"> ADDIN ZOTERO_ITEM CSL_CITATION {"citationID":"7RIAIWel","properties":{"formattedCitation":"{\\rtf \\super 53\\nosupersub{}}","plainCitation":"53"},"citationItems":[{"id":668,"uris":["http://zotero.org/users/2487980/items/VRC3ZEU9"],"uri":["http://zotero.org/users/2487980/items/VRC3ZEU9"],"itemData":{"id":668,"type":"article-journal","title":"Post-fire logging produces minimal persistent impacts on understory vegetation in northeastern Oregon, USA","container-title":"Forest Ecology and Management","page":"56-64","volume":"370","source":"ScienceDirect","abstract":"Post-fire forest management commonly requires accepting some negative ecological impacts from management activities in order to achieve management objectives. Managers need to know, however, whether ecological impacts from post-fire management activities are transient or cause long-term ecosystem degradation. We studied the long-term response of understory vegetation to two post-fire logging treatments – commercial salvage logging with and without additional fuel reduction logging – on a long-term post-fire logging experiment in northeastern Oregon, USA. We sampled understory plant cover and species diversity on 10–11 sampling plots within each of nine experimental treatment units to see if post-fire logging treatments produced any lasting effects on understory plant cover, species diversity, community composition, or exotic species cover. Post-fire logging treatments produced no significant effects on understory vegetation cover, diversity, or community composition 15 years after treatment. We found no significant treatment effects on graminoid, forb, woody plant, or exotic plant cover and species richness, and differences among treatment means were generally small. Differences in treatment means were larger at the individual species level, but were only statistically significant for one native grass, California brome (Bromus carinatus), which responded differently to the two logging treatments. Multivariate analysis of understory plant communities across 91 sample plots found two major gradients in understory plant community composition, one correlated with regenerating forest (sapling) density and one correlated with residual overstory tree density, suggesting that initial fire severity (tree mortality) and post-fire regeneration may have greater long-term impacts on post-fire understory vegetation than post-fire logging. This study demonstrates that understory vegetation can be resilient to post-fire logging, particularly when best management practices, like logging over snow, are used to limit damage to soils and understory vegetation. Further research is needed to establish the generality of our results and to identify sources of variability in understory plant community responses to wildfire and post-fire logging. If further research confirms our findings, post-fire logging debates will be able to focus more on how to mitigate short-term disturbance impacts and manage fire-killed trees to meet wildlife habitat, fuel reduction, and economic objectives, and less on concerns over long-term ecosystem degradation.","DOI":"10.1016/j.foreco.2016.04.004","ISSN":"0378-1127","journalAbbreviation":"Forest Ecology and Management","author":[{"family":"Peterson","given":"David W."},{"family":"Dodson","given":"Erich Kyle"}],"issued":{"date-parts":[["2016",6,15]]}}}],"schema":"https://github.com/citation-style-language/schema/raw/master/csl-citation.json"} </w:instrText>
      </w:r>
      <w:r>
        <w:fldChar w:fldCharType="separate"/>
      </w:r>
      <w:r w:rsidR="00787C48" w:rsidRPr="00787C48">
        <w:rPr>
          <w:rFonts w:ascii="Calibri" w:hAnsi="Calibri" w:cs="Calibri"/>
          <w:szCs w:val="24"/>
          <w:vertAlign w:val="superscript"/>
        </w:rPr>
        <w:t>53</w:t>
      </w:r>
      <w:r>
        <w:fldChar w:fldCharType="end"/>
      </w:r>
      <w:r>
        <w:t xml:space="preserve"> </w:t>
      </w:r>
    </w:p>
    <w:p w14:paraId="6283857A" w14:textId="011547B1" w:rsidR="00137BDB" w:rsidRDefault="00137BDB" w:rsidP="00137BDB">
      <w:pPr>
        <w:jc w:val="both"/>
      </w:pPr>
      <w:r>
        <w:t>P</w:t>
      </w:r>
      <w:r w:rsidRPr="00477205">
        <w:t>ost-</w:t>
      </w:r>
      <w:r w:rsidR="00AD2298">
        <w:t>wildfire</w:t>
      </w:r>
      <w:r w:rsidRPr="00477205">
        <w:t xml:space="preserve"> logging can significantly reduce future surface woody fuel</w:t>
      </w:r>
      <w:r>
        <w:t xml:space="preserve"> depending</w:t>
      </w:r>
      <w:r w:rsidRPr="00477205">
        <w:t xml:space="preserve"> on the volume and sizes of wood removed</w:t>
      </w:r>
      <w:r w:rsidR="00FB7F0A">
        <w:t>;</w:t>
      </w:r>
      <w:r w:rsidRPr="00477205">
        <w:t xml:space="preserve"> logging methods</w:t>
      </w:r>
      <w:r w:rsidR="00FB7F0A">
        <w:t>;</w:t>
      </w:r>
      <w:r w:rsidRPr="00477205">
        <w:t xml:space="preserve"> post-logging fuel treatments</w:t>
      </w:r>
      <w:r w:rsidR="00FB7F0A">
        <w:t>;</w:t>
      </w:r>
      <w:r w:rsidRPr="00477205">
        <w:t xml:space="preserve"> and the amount of coarse woody debris left on</w:t>
      </w:r>
      <w:r w:rsidR="00016C77">
        <w:t xml:space="preserve"> </w:t>
      </w:r>
      <w:r w:rsidRPr="00477205">
        <w:t>site to support wildlife habitat, erosion control, and other management objectives</w:t>
      </w:r>
      <w:r>
        <w:t>.</w:t>
      </w:r>
      <w:r>
        <w:fldChar w:fldCharType="begin"/>
      </w:r>
      <w:r w:rsidR="009F50B6">
        <w:instrText xml:space="preserve"> ADDIN ZOTERO_ITEM CSL_CITATION {"citationID":"a9h4ste5jv","properties":{"formattedCitation":"{\\rtf \\super 55\\nosupersub{}}","plainCitation":"55"},"citationItems":[{"id":807,"uris":["http://zotero.org/users/2487980/items/2HKC998N"],"uri":["http://zotero.org/users/2487980/items/2HKC998N"],"itemData":{"id":807,"type":"article-journal","title":"Post-fire logging reduces surface woody fuels up to four decades following wildfire","container-title":"Forest Ecology and Management","page":"84-91","volume":"338","issue":"Supplement C","source":"ScienceDirect","abstract":"Severe wildfires create pulses of dead trees that influence future fuel loads, fire behavior, and fire effects as they decay and deposit surface woody fuels. Harvesting fire-killed trees may reduce future surface woody fuels and related fire hazards, but the magnitude and timing of post-fire logging effects on woody fuels have not been fully assessed. To address this issue, we sampled surface woody fuels within 255 coniferous forest stands that burned with high fire severity in 68 wildfires between 1970 and 2007 in eastern Washington and Oregon, USA. Sampling included 96 stands that were logged after wildfire and 159 stands that were not logged. Most forest stands sampled were dominated by ponderosa pine (Pinus ponderosa) or Douglas-fir (Pseudotsuga menziesii) prior to wildfire and historically supported low and mixed-severity fire regimes. In unlogged stands, woody fuel loads were low initially, but then increased and peaked 10–20years following wildfire. In logged stands, small and medium diameter woody fuel loads peaked immediately after logging, whereas large diameter woody fuel loads peaked 10–20years after wildfire. Relative to unlogged stands, post-fire logging initially increased surface woody fuel loads, increasing small diameter fuel loads by up to 2.1Mg/ha during the first 5years after fire and increasing medium diameter fuel loads by up to 5.8Mg/ha during the first 7years after fire. Logging subsequently reduced surface woody fuel loads, reducing large diameter fuel loads by up to 53Mg/ha between 6 and 39years after wildfire, reducing medium diameter fuel loads by up to 2.4Mg/ha between 12 and 23years after wildfire, and reducing small diameter fuel loads by up to 1.4Mg/ha between 10 and 28years after wildfire. Logging also reduced rotten, large diameter fuel loads by up to 24Mg/ha between 20 and 39years after wildfire. Our study suggests that post-fire logging can significantly reduce future surface woody fuel levels in forests regenerating following wildfires. The magnitude of woody fuel reduction depends, however, on the volume and sizes of wood removed, logging methods, post-logging fuel treatments, and the amount of coarse woody debris left on-site to support wildlife habitat, erosion control, and other competing management objectives.","DOI":"10.1016/j.foreco.2014.11.016","ISSN":"0378-1127","journalAbbreviation":"Forest Ecology and Management","author":[{"family":"Peterson","given":"David W."},{"family":"Dodson","given":"Erich K."},{"family":"Harrod","given":"Richy J."}],"issued":{"date-parts":[["2015",2,15]]}}}],"schema":"https://github.com/citation-style-language/schema/raw/master/csl-citation.json"} </w:instrText>
      </w:r>
      <w:r>
        <w:fldChar w:fldCharType="separate"/>
      </w:r>
      <w:r w:rsidR="009F50B6" w:rsidRPr="009F50B6">
        <w:rPr>
          <w:rFonts w:ascii="Calibri" w:hAnsi="Calibri" w:cs="Calibri"/>
          <w:szCs w:val="24"/>
          <w:vertAlign w:val="superscript"/>
        </w:rPr>
        <w:t>55</w:t>
      </w:r>
      <w:r>
        <w:fldChar w:fldCharType="end"/>
      </w:r>
      <w:r w:rsidRPr="003D0E5B">
        <w:t xml:space="preserve"> </w:t>
      </w:r>
      <w:r>
        <w:t>However, despite the removal of large woody fuel,</w:t>
      </w:r>
      <w:r>
        <w:fldChar w:fldCharType="begin"/>
      </w:r>
      <w:r w:rsidR="009F50B6">
        <w:instrText xml:space="preserve"> ADDIN ZOTERO_ITEM CSL_CITATION {"citationID":"a1utee022b2","properties":{"formattedCitation":"{\\rtf \\super 56\\nosupersub{}}","plainCitation":"56"},"citationItems":[{"id":798,"uris":["http://zotero.org/users/2487980/items/53S92KMM"],"uri":["http://zotero.org/users/2487980/items/53S92KMM"],"itemData":{"id":798,"type":"article-journal","title":"Reburn severity in managed and unmanaged vegetation in a large wildfire","container-title":"Proceedings of the National Academy of Sciences","page":"10743-10748","volume":"104","issue":"25","source":"www.pnas.org","abstract":"Debate over the influence of postwildfire management on future fire severity is occurring in the absence of empirical studies. We used satellite data, government agency records, and aerial photography to examine a forest landscape in southwest Oregon that burned in 1987 and then was subject, in part, to salvage-logging and conifer planting before it reburned during the 2002 Biscuit Fire. Areas that burned severely in 1987 tended to reburn at high severity in 2002, after controlling for the influence of several topographical and biophysical covariates. Areas unaffected by the initial fire tended to burn at the lowest severities in 2002. Areas that were salvage-logged and planted after the initial fire burned more severely than comparable unmanaged areas, suggesting that fuel conditions in conifer plantations can increase fire severity despite removal of large woody fuels.","DOI":"10.1073/pnas.0700229104","ISSN":"0027-8424, 1091-6490","note":"PMID: 17563370","journalAbbreviation":"PNAS","language":"en","author":[{"family":"Thompson","given":"Jonathan R."},{"family":"Spies","given":"Thomas A."},{"family":"Ganio","given":"Lisa M."}],"issued":{"date-parts":[["2007",6,19]]}}}],"schema":"https://github.com/citation-style-language/schema/raw/master/csl-citation.json"} </w:instrText>
      </w:r>
      <w:r>
        <w:fldChar w:fldCharType="separate"/>
      </w:r>
      <w:r w:rsidR="009F50B6" w:rsidRPr="009F50B6">
        <w:rPr>
          <w:rFonts w:ascii="Calibri" w:hAnsi="Calibri" w:cs="Calibri"/>
          <w:szCs w:val="24"/>
          <w:vertAlign w:val="superscript"/>
        </w:rPr>
        <w:t>56</w:t>
      </w:r>
      <w:r>
        <w:fldChar w:fldCharType="end"/>
      </w:r>
      <w:r>
        <w:t xml:space="preserve"> forests that were burned and then salvage logged have been shown to be at a risk of re-burning with high severity because of altered condition of the forest vegetation and change</w:t>
      </w:r>
      <w:r w:rsidR="00842AE2">
        <w:t>d</w:t>
      </w:r>
      <w:r>
        <w:t xml:space="preserve"> forest fuels, particularly fine fuels.</w:t>
      </w:r>
      <w:r>
        <w:fldChar w:fldCharType="begin"/>
      </w:r>
      <w:r w:rsidR="009F50B6">
        <w:instrText xml:space="preserve"> ADDIN ZOTERO_ITEM CSL_CITATION {"citationID":"a2ncmfqi1mu","properties":{"formattedCitation":"{\\rtf \\super 57\\nosupersub{}}","plainCitation":"57"},"citationItems":[{"id":795,"uris":["http://zotero.org/users/2487980/items/9HXD6UQ5"],"uri":["http://zotero.org/users/2487980/items/9HXD6UQ5"],"itemData":{"id":795,"type":"article-journal","title":"Patterns of Fire Severity and Forest Conditions in the Western Klamath Mountains, California","container-title":"Conservation Biology","page":"927-936","volume":"18","issue":"4","source":"Wiley Online Library","abstract":"Abstract: The Klamath-Siskiyou region of northwestern California and southwestern Oregon supports globally outstanding temperate biodiversity. Fire has been important in the evolutionary history that shaped this diversity, but recent human influences have altered the fire environment. We tested for modern human impacts on the fire regime by analyzing temporal patterns in fire extent and spatial patterns of fire severity in relation to vegetation structure, past fire occurrence, roads, and timber management in a 98,814-ha area burned in 1987. Fire severity was mapped by the U.S. Department of Agriculture Forest Service as low, moderate, and high based on levels of canopy scorch and consumption. We found (1) a trend of increasing fire size in recent decades; (2) that overall fire-severity proportions were 59% low, 29% moderate, and 12% high, which is comparable to both contemporary and historic fires in the region; (3) that multiaged, closed forests, the predominant vegetation, burned with much lower severity than did open forest and shrubby nonforest vegetation; (4) that considerably less high-severity fire occurred where fire had previously be absent since 1920 in closed forests compared to where the forests had burned since 1920 (7% vs. 16%); (5) that nonforest vegetation burned with greater severity where there was a history of fire since 1920 and in roaded areas; and (6) that tree plantations experienced twice as much severe fire as multi-aged forests. We concluded that fuel buildup in the absence of fire did not cause increased fire severity as hypothesized. Instead, fuel that is receptive to combustion may decrease in the long absence of fire in the closed forests of our study area, which will favor the fire regime that has maintained these forests. However, plantations are now found in one-third of the roaded landscape. Together with warming climate, this may increase the size and severity of future fires, favoring further establishment of structurally and biologically simple plantations.","DOI":"10.1111/j.1523-1739.2004.00493.x","ISSN":"1523-1739","language":"en","author":[{"family":"Odion","given":"Dennis C."},{"family":"Frost","given":"Evan J."},{"family":"Strittholt","given":"James R."},{"family":"Jiang","given":"Hong"},{"family":"Dellasala","given":"Dominick A."},{"family":"Moritz","given":"Max A."}],"issued":{"date-parts":[["2004",8,1]]}}}],"schema":"https://github.com/citation-style-language/schema/raw/master/csl-citation.json"} </w:instrText>
      </w:r>
      <w:r>
        <w:fldChar w:fldCharType="separate"/>
      </w:r>
      <w:r w:rsidR="009F50B6" w:rsidRPr="009F50B6">
        <w:rPr>
          <w:rFonts w:ascii="Calibri" w:hAnsi="Calibri" w:cs="Calibri"/>
          <w:szCs w:val="24"/>
          <w:vertAlign w:val="superscript"/>
        </w:rPr>
        <w:t>57</w:t>
      </w:r>
      <w:r>
        <w:fldChar w:fldCharType="end"/>
      </w:r>
      <w:r>
        <w:t xml:space="preserve"> An analysis of 1,500 wildfires in the western U</w:t>
      </w:r>
      <w:r w:rsidR="00016C77">
        <w:t>.</w:t>
      </w:r>
      <w:r>
        <w:t>S</w:t>
      </w:r>
      <w:r w:rsidR="00016C77">
        <w:t>.</w:t>
      </w:r>
      <w:r>
        <w:t xml:space="preserve"> showed that forests with high levels of </w:t>
      </w:r>
      <w:r w:rsidR="00DB0D33">
        <w:t xml:space="preserve">retention </w:t>
      </w:r>
      <w:r>
        <w:t>burned less severely than other, logged forests.</w:t>
      </w:r>
      <w:r>
        <w:fldChar w:fldCharType="begin"/>
      </w:r>
      <w:r w:rsidR="009F50B6">
        <w:instrText xml:space="preserve"> ADDIN ZOTERO_ITEM CSL_CITATION {"citationID":"AMttUnb5","properties":{"formattedCitation":"{\\rtf \\super 58\\nosupersub{}}","plainCitation":"58"},"citationItems":[{"id":927,"uris":["http://zotero.org/users/2487980/items/9GFMLZ8Q"],"uri":["http://zotero.org/users/2487980/items/9GFMLZ8Q"],"itemData":{"id":927,"type":"article-journal","title":"Does increased forest protection correspond to higher fire severity in frequent-fire forests of the western United States?","container-title":"Ecosphere","page":"n/a-n/a","volume":"7","issue":"10","source":"Wiley Online Library","abstract":"There is a widespread view among land managers and others that the protected status of many forestlands in the western United States corresponds with higher fire severity levels due to historical restrictions on logging that contribute to greater amounts of biomass and fuel loading in less intensively managed areas, particularly after decades of fire suppression. This view has led to recent proposals—both administrative and legislative—to reduce or eliminate forest protections and increase some forms of logging based on the belief that restrictions on active management have increased fire severity. We investigated the relationship between protected status and fire severity using the Random Forests algorithm applied to 1500 fires affecting 9.5 million hectares between 1984 and 2014 in pine (Pinus ponderosa, Pinus jeffreyi) and mixed-conifer forests of western United States, accounting for key topographic and climate variables. We found forests with higher levels of protection had lower severity values even though they are generally identified as having the highest overall levels of biomass and fuel loading. Our results suggest a need to reconsider current overly simplistic assumptions about the relationship between forest protection and fire severity in fire management and policy.","DOI":"10.1002/ecs2.1492","ISSN":"2150-8925","journalAbbreviation":"Ecosphere","language":"en","author":[{"family":"Bradley","given":"Curtis M."},{"family":"Hanson","given":"Chad T."},{"family":"DellaSala","given":"Dominick A."}],"issued":{"date-parts":[["2016",10,1]]}}}],"schema":"https://github.com/citation-style-language/schema/raw/master/csl-citation.json"} </w:instrText>
      </w:r>
      <w:r>
        <w:fldChar w:fldCharType="separate"/>
      </w:r>
      <w:r w:rsidR="009F50B6" w:rsidRPr="009F50B6">
        <w:rPr>
          <w:rFonts w:ascii="Calibri" w:hAnsi="Calibri" w:cs="Calibri"/>
          <w:szCs w:val="24"/>
          <w:vertAlign w:val="superscript"/>
        </w:rPr>
        <w:t>58</w:t>
      </w:r>
      <w:r>
        <w:fldChar w:fldCharType="end"/>
      </w:r>
    </w:p>
    <w:p w14:paraId="6AA48DE8" w14:textId="101A508B" w:rsidR="00137BDB" w:rsidRDefault="00137BDB" w:rsidP="00137BDB">
      <w:pPr>
        <w:jc w:val="both"/>
      </w:pPr>
      <w:r>
        <w:t>In any case, if post-</w:t>
      </w:r>
      <w:r w:rsidR="00AD2298">
        <w:t>wildfire</w:t>
      </w:r>
      <w:r>
        <w:t xml:space="preserve"> salvage logging is to be an economically viable proposition it must be done soon after the </w:t>
      </w:r>
      <w:r w:rsidR="00AD2298">
        <w:t>wildfire</w:t>
      </w:r>
      <w:r>
        <w:t xml:space="preserve"> has occurred. Trees killed or badly damaged by </w:t>
      </w:r>
      <w:r w:rsidR="00AD2298">
        <w:t>wildfire</w:t>
      </w:r>
      <w:r>
        <w:t xml:space="preserve"> begin deteriorating immediately, and commercial value declines rapidly. Decay fungi infect sapwood within the first year, and sapwood usually has no commercial value by the second or third year. Weather deterioration causes longitudinal splits (checks) that are usually minor in large standing dead trees, but smaller trees or species with thin bark may be affected more extensively.</w:t>
      </w:r>
      <w:r>
        <w:fldChar w:fldCharType="begin"/>
      </w:r>
      <w:r w:rsidR="004C2E00">
        <w:instrText xml:space="preserve"> ADDIN ZOTERO_ITEM CSL_CITATION {"citationID":"ENt4XA6u","properties":{"formattedCitation":"{\\rtf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r w:rsidR="00DB0D33">
        <w:t xml:space="preserve"> Despite relatively rapid declining timber value, the rate of salvage must be balanced against strategies to retain other social and environmental values on the landbase.</w:t>
      </w:r>
    </w:p>
    <w:p w14:paraId="45E4EF66" w14:textId="1526CFD3" w:rsidR="00137BDB" w:rsidRDefault="00137BDB" w:rsidP="00137BDB">
      <w:pPr>
        <w:pStyle w:val="Heading2"/>
      </w:pPr>
      <w:bookmarkStart w:id="67" w:name="_Toc498345456"/>
      <w:bookmarkStart w:id="68" w:name="_Toc498345844"/>
      <w:bookmarkStart w:id="69" w:name="_Toc498345914"/>
      <w:bookmarkStart w:id="70" w:name="_Toc498952960"/>
      <w:bookmarkStart w:id="71" w:name="_Toc503934756"/>
      <w:r>
        <w:t>Effects on aquatic ecosystems</w:t>
      </w:r>
      <w:bookmarkEnd w:id="67"/>
      <w:bookmarkEnd w:id="68"/>
      <w:bookmarkEnd w:id="69"/>
      <w:bookmarkEnd w:id="70"/>
      <w:bookmarkEnd w:id="71"/>
    </w:p>
    <w:p w14:paraId="7AC0E807" w14:textId="680B2CFD" w:rsidR="00137BDB" w:rsidRDefault="00137BDB" w:rsidP="00137BDB">
      <w:pPr>
        <w:jc w:val="both"/>
      </w:pPr>
      <w:r>
        <w:t>Even small changes in water quality can have significant impacts on aquatic ecology, resulting in greater algal production, increased aquatic invertebrate abundance, and shifts in invertebrate community structure.</w:t>
      </w:r>
      <w:r>
        <w:fldChar w:fldCharType="begin"/>
      </w:r>
      <w:r w:rsidR="00787C48">
        <w:instrText xml:space="preserve"> ADDIN ZOTERO_ITEM CSL_CITATION {"citationID":"Rjr8kvGP","properties":{"formattedCitation":"{\\rtf \\super 47\\nosupersub{}}","plainCitation":"47"},"citationItems":[{"id":812,"uris":["http://zotero.org/users/2487980/items/E8RSUA6N"],"uri":["http://zotero.org/users/2487980/items/E8RSUA6N"],"itemData":{"id":812,"type":"article-journal","title":"Wildfire and Watershed Hydrology: Key Findings from a Workshop","container-title":"Streamline Watershed Management Bulletin","page":"1-4","volume":"13","issue":"1","author":[{"family":"Bladon","given":"Kevin D."},{"family":"Redding","given":"Todd"}],"issued":{"date-parts":[["2009"]]}}}],"schema":"https://github.com/citation-style-language/schema/raw/master/csl-citation.json"} </w:instrText>
      </w:r>
      <w:r>
        <w:fldChar w:fldCharType="separate"/>
      </w:r>
      <w:r w:rsidR="00787C48" w:rsidRPr="00787C48">
        <w:rPr>
          <w:rFonts w:ascii="Calibri" w:hAnsi="Calibri" w:cs="Calibri"/>
          <w:szCs w:val="24"/>
          <w:vertAlign w:val="superscript"/>
        </w:rPr>
        <w:t>47</w:t>
      </w:r>
      <w:r>
        <w:fldChar w:fldCharType="end"/>
      </w:r>
      <w:r>
        <w:t xml:space="preserve"> Increased runoff and erosion resulting from salvage logging alter</w:t>
      </w:r>
      <w:r w:rsidR="00842AE2">
        <w:t>s</w:t>
      </w:r>
      <w:r>
        <w:t xml:space="preserve"> river hydrology by increasing sediment loads and the frequency and magnitude of high flows. These changes alter the character of river channels and may cause harm to </w:t>
      </w:r>
      <w:r w:rsidR="00DB0D33">
        <w:t xml:space="preserve">a range of </w:t>
      </w:r>
      <w:r>
        <w:t>aquatic species.</w:t>
      </w:r>
      <w:r>
        <w:fldChar w:fldCharType="begin"/>
      </w:r>
      <w:r w:rsidR="0012005A">
        <w:instrText xml:space="preserve"> ADDIN ZOTERO_ITEM CSL_CITATION {"citationID":"a153dvrrjt2","properties":{"formattedCitation":"{\\rtf \\super 10\\nosupersub{}}","plainCitation":"10"},"citationItems":[{"id":828,"uris":["http://zotero.org/users/2487980/items/5SNKBFKV"],"uri":["http://zotero.org/users/2487980/items/5SNKBFKV"],"itemData":{"id":828,"type":"article-journal","title":"The Effects of Postfire Salvage Logging on Aquatic Ecosystems in the American West","container-title":"BioScience","page":"1029-1033","volume":"54","issue":"11","source":"academic.oup.com","abstract":"Recent changes in the forest policies, regulations, and laws affecting public lands encourage postfire salvage logging, an activity that all too often delays or prevents recovery. In contrast, the 10 recommendations proposed here can improve the condition of watersheds and aquatic ecosystems.","DOI":"10.1641/0006-3568(2004)054[1029:TEOPSL]2.0.CO;2","ISSN":"0006-3568","journalAbbreviation":"BioScience","author":[{"family":"Karr","given":"James R."},{"family":"Rhodes","given":"Jonathan J."},{"family":"Minshall","given":"G. Wayne"},{"family":"Hauer","given":"F. Richard"},{"family":"Beschta","given":"Robert L."},{"family":"Frissell","given":"Christopher A."},{"family":"Perry","given":"David A."}],"issued":{"date-parts":[["2004",11,1]]}}}],"schema":"https://github.com/citation-style-language/schema/raw/master/csl-citation.json"} </w:instrText>
      </w:r>
      <w:r>
        <w:fldChar w:fldCharType="separate"/>
      </w:r>
      <w:r w:rsidR="0012005A" w:rsidRPr="007610F7">
        <w:rPr>
          <w:rFonts w:ascii="Calibri" w:hAnsi="Calibri" w:cs="Calibri"/>
          <w:szCs w:val="24"/>
          <w:vertAlign w:val="superscript"/>
        </w:rPr>
        <w:t>10</w:t>
      </w:r>
      <w:r>
        <w:fldChar w:fldCharType="end"/>
      </w:r>
      <w:r w:rsidRPr="0006672A">
        <w:rPr>
          <w:vertAlign w:val="superscript"/>
        </w:rPr>
        <w:t>,</w:t>
      </w:r>
      <w:r>
        <w:fldChar w:fldCharType="begin"/>
      </w:r>
      <w:r w:rsidR="009F50B6">
        <w:instrText xml:space="preserve"> ADDIN ZOTERO_ITEM CSL_CITATION {"citationID":"a16665luqj0","properties":{"formattedCitation":"{\\rtf \\super 59\\nosupersub{}}","plainCitation":"59"},"citationItems":[{"id":946,"uris":["http://zotero.org/users/2487980/items/33JSFSRE"],"uri":["http://zotero.org/users/2487980/items/33JSFSRE"],"itemData":{"id":946,"type":"article-journal","title":"Sediment delivery in managed forests: a review","container-title":"Environmental Reviews","page":"59-87","volume":"14","issue":"1","abstract":"The opening or removal of forest canopies during harvesting or land clearing results in a predictable sequence of responses, the descriptions of which appear remarkably similar around the world. Such activities are now widely acknowledged to have adverse impacts upon water quality and in-stream ecology. Sediment delivery, therefore, encapsulates the dominant process by which water resources are impacted and the process that can be best managed to limit off-site impacts. This paper is a review of current processes, and perceptions, of sediment delivery in managed forests. We outline the major components of sediment and runoff delivery as they relate specifically to timber harvesting activities. Whilst much existing research has focused upon soil loss as the major component of timber harvesting impacts, this review highlights both the need for, and benefits from, a conceptual advance in our thinking of sediment delivery. We advocate that by managing runoff delivery pathways and the resultant pattern of hydrological connectivity, we can limit the potential adverse effects of forest harvesting on in-stream water quality. Specific attention is given here to the interaction of the forest road and track network with both sediment and runoff delivery. The result is a comprehensive account of how best to manage timber harvesting for both on-site sustainability and off-site water resource protection.Key words: timber harvesting, sediment delivery, road network, connectivity, best management practices (BMPs).","DOI":"https://doi.org/10.1139/a05-016","author":[{"family":"Croke","given":"J.C."},{"family":"Hairsine","given":"P.B."}],"issued":{"date-parts":[["2006"]]}}}],"schema":"https://github.com/citation-style-language/schema/raw/master/csl-citation.json"} </w:instrText>
      </w:r>
      <w:r>
        <w:fldChar w:fldCharType="separate"/>
      </w:r>
      <w:r w:rsidR="009F50B6" w:rsidRPr="009F50B6">
        <w:rPr>
          <w:rFonts w:ascii="Calibri" w:hAnsi="Calibri" w:cs="Calibri"/>
          <w:szCs w:val="24"/>
          <w:vertAlign w:val="superscript"/>
        </w:rPr>
        <w:t>59</w:t>
      </w:r>
      <w:r>
        <w:fldChar w:fldCharType="end"/>
      </w:r>
    </w:p>
    <w:p w14:paraId="55925BCA" w14:textId="061C89DF" w:rsidR="00137BDB" w:rsidRDefault="00137BDB" w:rsidP="00137BDB">
      <w:pPr>
        <w:jc w:val="both"/>
      </w:pPr>
      <w:r>
        <w:t xml:space="preserve">The </w:t>
      </w:r>
      <w:r w:rsidRPr="00612A48">
        <w:t>behavio</w:t>
      </w:r>
      <w:r w:rsidR="00016C77">
        <w:t>u</w:t>
      </w:r>
      <w:r w:rsidRPr="00612A48">
        <w:t xml:space="preserve">r </w:t>
      </w:r>
      <w:r>
        <w:t xml:space="preserve">of </w:t>
      </w:r>
      <w:r w:rsidR="00AD2298">
        <w:t>wildfires</w:t>
      </w:r>
      <w:r w:rsidRPr="00612A48">
        <w:t xml:space="preserve"> in riparian zones is complex</w:t>
      </w:r>
      <w:r>
        <w:t xml:space="preserve"> and results in a variety of responses;</w:t>
      </w:r>
      <w:r w:rsidRPr="00612A48">
        <w:t xml:space="preserve"> </w:t>
      </w:r>
      <w:r>
        <w:t>many</w:t>
      </w:r>
      <w:r w:rsidRPr="00612A48">
        <w:t xml:space="preserve"> riparian organisms </w:t>
      </w:r>
      <w:r>
        <w:t xml:space="preserve">can recover rapidly after </w:t>
      </w:r>
      <w:r w:rsidR="00AD2298">
        <w:t>wildfires</w:t>
      </w:r>
      <w:r>
        <w:t>.</w:t>
      </w:r>
      <w:r w:rsidRPr="00612A48">
        <w:t xml:space="preserve"> Unless constrained by other factors, fish </w:t>
      </w:r>
      <w:r>
        <w:t>may not be affected</w:t>
      </w:r>
      <w:r>
        <w:fldChar w:fldCharType="begin"/>
      </w:r>
      <w:r w:rsidR="0012005A">
        <w:instrText xml:space="preserve"> ADDIN ZOTERO_ITEM CSL_CITATION {"citationID":"Anfy4IbA","properties":{"formattedCitation":"{\\rtf \\super 11\\nosupersub{}}","plainCitation":"11"},"citationItems":[{"id":785,"uris":["http://zotero.org/users/2487980/items/Z9JZQRRB"],"uri":["http://zotero.org/users/2487980/items/Z9JZQRRB"],"itemData":{"id":785,"type":"article-journal","title":"Southern Rockies Watershed Project","container-title":"The Forestry Chronicle","page":"39-42","volume":"92","issue":"01","source":"pubs.cif-ifc.org (Atypon)","abstract":"The Southern Rockies Watershed Project was initiated in 2003 to describe the impacts of severe natural disturbance by wildfire on a broad range of headwaters, larger river basin scale, and downstream water resources (Phase I). This watershed research is unique in that trans-disciplinary linkages between hydrology, biogeochemistry, aquatic ecology, downstream river basin processes, implications for human water use, and economic implications are providing broad insights into wildfire effects on water. A second phase of the research (Phase II) focuses on evaluating the effects of several alternative forest harvesting practices on these same water resource “values”. Collectively, this research is providing comprehensive information on watershed function after forest disturbance in Rocky Mountain watersheds.","DOI":"10.5558/tfc2016-012","ISSN":"0015-7546","journalAbbreviation":"The Forestry Chronicle","author":[{"family":"Silins","given":"Uldis"},{"family":"Anderson","given":"Axel"},{"family":"Bladon","given":"Kevin D."},{"family":"Emelko","given":"Monica B."},{"family":"Stone","given":"Micheal"},{"family":"Spencer","given":"Sheena A."},{"family":"Williams","given":"Chris H.S."},{"family":"Wagner","given":"Michael J."},{"family":"Martens","given":"Amanda M."},{"family":"Hawthorn","given":"Kirk"}],"issued":{"date-parts":[["2016",1,1]]}}}],"schema":"https://github.com/citation-style-language/schema/raw/master/csl-citation.json"} </w:instrText>
      </w:r>
      <w:r>
        <w:fldChar w:fldCharType="separate"/>
      </w:r>
      <w:r w:rsidR="0012005A" w:rsidRPr="007610F7">
        <w:rPr>
          <w:rFonts w:ascii="Calibri" w:hAnsi="Calibri" w:cs="Calibri"/>
          <w:szCs w:val="24"/>
          <w:vertAlign w:val="superscript"/>
        </w:rPr>
        <w:t>11</w:t>
      </w:r>
      <w:r>
        <w:fldChar w:fldCharType="end"/>
      </w:r>
      <w:r>
        <w:t xml:space="preserve"> or will </w:t>
      </w:r>
      <w:r w:rsidRPr="00612A48">
        <w:t xml:space="preserve">rebound relatively quickly. </w:t>
      </w:r>
      <w:r>
        <w:t>E</w:t>
      </w:r>
      <w:r w:rsidRPr="00612A48">
        <w:t>rosion events</w:t>
      </w:r>
      <w:r>
        <w:t xml:space="preserve"> associated with </w:t>
      </w:r>
      <w:r w:rsidR="00AD2298">
        <w:t>wildfires</w:t>
      </w:r>
      <w:r>
        <w:t xml:space="preserve"> can</w:t>
      </w:r>
      <w:r w:rsidRPr="00612A48">
        <w:t xml:space="preserve"> contribute wood and coarse sediment that can create and maintain productive aquatic habitats</w:t>
      </w:r>
      <w:r>
        <w:t>.</w:t>
      </w:r>
      <w:r>
        <w:fldChar w:fldCharType="begin"/>
      </w:r>
      <w:r w:rsidR="00787C48">
        <w:instrText xml:space="preserve"> ADDIN ZOTERO_ITEM CSL_CITATION {"citationID":"a6dmurfgo4","properties":{"formattedCitation":"{\\rtf \\super 47\\nosupersub{}}","plainCitation":"47"},"citationItems":[{"id":812,"uris":["http://zotero.org/users/2487980/items/E8RSUA6N"],"uri":["http://zotero.org/users/2487980/items/E8RSUA6N"],"itemData":{"id":812,"type":"article-journal","title":"Wildfire and Watershed Hydrology: Key Findings from a Workshop","container-title":"Streamline Watershed Management Bulletin","page":"1-4","volume":"13","issue":"1","author":[{"family":"Bladon","given":"Kevin D."},{"family":"Redding","given":"Todd"}],"issued":{"date-parts":[["2009"]]}}}],"schema":"https://github.com/citation-style-language/schema/raw/master/csl-citation.json"} </w:instrText>
      </w:r>
      <w:r>
        <w:fldChar w:fldCharType="separate"/>
      </w:r>
      <w:r w:rsidR="00787C48" w:rsidRPr="00787C48">
        <w:rPr>
          <w:rFonts w:ascii="Calibri" w:hAnsi="Calibri" w:cs="Calibri"/>
          <w:szCs w:val="24"/>
          <w:vertAlign w:val="superscript"/>
        </w:rPr>
        <w:t>47</w:t>
      </w:r>
      <w:r>
        <w:fldChar w:fldCharType="end"/>
      </w:r>
      <w:r w:rsidRPr="00612A48">
        <w:t xml:space="preserve"> </w:t>
      </w:r>
    </w:p>
    <w:p w14:paraId="6AD828F9" w14:textId="2034A482" w:rsidR="00137BDB" w:rsidRDefault="00137BDB" w:rsidP="00137BDB">
      <w:pPr>
        <w:jc w:val="both"/>
      </w:pPr>
      <w:r>
        <w:lastRenderedPageBreak/>
        <w:t xml:space="preserve">Given that </w:t>
      </w:r>
      <w:r w:rsidR="00AD2298">
        <w:t>wildfire</w:t>
      </w:r>
      <w:r w:rsidRPr="00612A48">
        <w:t xml:space="preserve"> in riparian areas create</w:t>
      </w:r>
      <w:r>
        <w:t>s</w:t>
      </w:r>
      <w:r w:rsidRPr="00612A48">
        <w:t xml:space="preserve"> conditions that may not require intervention to sustain long-term productivity</w:t>
      </w:r>
      <w:r w:rsidR="00842AE2">
        <w:t>,</w:t>
      </w:r>
      <w:r>
        <w:t xml:space="preserve"> </w:t>
      </w:r>
      <w:r w:rsidRPr="00612A48">
        <w:t>post</w:t>
      </w:r>
      <w:r>
        <w:t>-</w:t>
      </w:r>
      <w:r w:rsidR="00AD2298">
        <w:t>wildfire</w:t>
      </w:r>
      <w:r w:rsidRPr="00612A48">
        <w:t xml:space="preserve"> riparian zones </w:t>
      </w:r>
      <w:r>
        <w:t xml:space="preserve">should be provided </w:t>
      </w:r>
      <w:r w:rsidRPr="00612A48">
        <w:t>with the same environmental protections they received before they bu</w:t>
      </w:r>
      <w:r>
        <w:t>rned.</w:t>
      </w:r>
      <w:r>
        <w:fldChar w:fldCharType="begin"/>
      </w:r>
      <w:r w:rsidR="009F50B6">
        <w:instrText xml:space="preserve"> ADDIN ZOTERO_ITEM CSL_CITATION {"citationID":"aHhbIN0U","properties":{"formattedCitation":"{\\rtf \\super 60\\nosupersub{}}","plainCitation":"60"},"citationItems":[{"id":726,"uris":["http://zotero.org/users/2487980/items/2XK2UMAX"],"uri":["http://zotero.org/users/2487980/items/2XK2UMAX"],"itemData":{"id":726,"type":"article-journal","title":"Postfire Logging in Riparian Areas","container-title":"Conservation Biology","page":"994-1004","volume":"20","issue":"4","source":"Wiley Online Library","abstract":"Abstract: We reviewed the behavior of wildfire in riparian zones, primarily in the western United States, and the potential ecological consequences of postfire logging. Fire behavior in riparian zones is complex, but many aquatic and riparian organisms exhibit a suite of adaptations that allow relatively rapid recovery after fire. Unless constrained by other factors, fish tend to rebound relatively quickly, usually within a decade after a wildfire. Additionally, fire and subsequent erosion events contribute wood and coarse sediment that can create and maintain productive aquatic habitats over time. The potential effects of postfire logging in riparian areas depend on the landscape context and disturbance history of a site; however, available evidence suggests two key management implications: (1) fire in riparian areas creates conditions that may not require intervention to sustain the long-term productivity of the aquatic network and (2) protection of burned riparian areas gives priority to what is left rather than what is removed. Research is needed to determine how postfire logging in riparian areas has affected the spread of invasive species and the vulnerability of upland forests to insect and disease outbreaks and how postfire logging will affect the frequency and behavior of future fires. The effectiveness of using postfire logging to restore desired riparian structure and function is therefore unproven, but such projects are gaining interest with the departure of forest conditions from those that existed prior to timber harvest, fire suppression, and climate change. In the absence of reliable information about the potential consequence of postfire timber harvest, we conclude that providing postfire riparian zones with the same environmental protections they received before they burned is justified ecologically. Without a commitment to monitor management experiments, the effects of postfire riparian logging will remain unknown and highly contentious.","DOI":"10.1111/j.1523-1739.2006.00502.x","ISSN":"1523-1739","language":"en","author":[{"family":"Reeves","given":"Gordon H."},{"family":"Bisson","given":"Peter A."},{"family":"Rieman","given":"Bruce E."},{"family":"Benda","given":"Lee E."}],"issued":{"date-parts":[["2006",8,1]]}}}],"schema":"https://github.com/citation-style-language/schema/raw/master/csl-citation.json"} </w:instrText>
      </w:r>
      <w:r>
        <w:fldChar w:fldCharType="separate"/>
      </w:r>
      <w:r w:rsidR="009F50B6" w:rsidRPr="009F50B6">
        <w:rPr>
          <w:rFonts w:ascii="Calibri" w:hAnsi="Calibri" w:cs="Calibri"/>
          <w:szCs w:val="24"/>
          <w:vertAlign w:val="superscript"/>
        </w:rPr>
        <w:t>60</w:t>
      </w:r>
      <w:r>
        <w:fldChar w:fldCharType="end"/>
      </w:r>
    </w:p>
    <w:p w14:paraId="01A8DB70" w14:textId="0CFF9DA2" w:rsidR="00137BDB" w:rsidRDefault="00137BDB" w:rsidP="00137BDB">
      <w:pPr>
        <w:pStyle w:val="Heading2"/>
      </w:pPr>
      <w:bookmarkStart w:id="72" w:name="_Toc498345457"/>
      <w:bookmarkStart w:id="73" w:name="_Toc498345845"/>
      <w:bookmarkStart w:id="74" w:name="_Toc498345915"/>
      <w:bookmarkStart w:id="75" w:name="_Toc498952961"/>
      <w:bookmarkStart w:id="76" w:name="_Toc503934757"/>
      <w:r>
        <w:t>Effects on wildlife and biodiversity</w:t>
      </w:r>
      <w:bookmarkEnd w:id="72"/>
      <w:bookmarkEnd w:id="73"/>
      <w:bookmarkEnd w:id="74"/>
      <w:bookmarkEnd w:id="75"/>
      <w:bookmarkEnd w:id="76"/>
    </w:p>
    <w:p w14:paraId="45F6F848" w14:textId="7CB1E76A" w:rsidR="00137BDB" w:rsidRDefault="00137BDB" w:rsidP="00137BDB">
      <w:pPr>
        <w:jc w:val="both"/>
      </w:pPr>
      <w:r>
        <w:t xml:space="preserve">The effects of wildfires on wildlife and biodiversity are mixed. In part, </w:t>
      </w:r>
      <w:r w:rsidR="00321C85">
        <w:t>this is due to the</w:t>
      </w:r>
      <w:r>
        <w:t xml:space="preserve"> differential effects of the 2017 B</w:t>
      </w:r>
      <w:r w:rsidR="00016C77">
        <w:t>.</w:t>
      </w:r>
      <w:r>
        <w:t>C</w:t>
      </w:r>
      <w:r w:rsidR="00016C77">
        <w:t>.</w:t>
      </w:r>
      <w:r>
        <w:t xml:space="preserve"> wildfires on </w:t>
      </w:r>
      <w:r w:rsidR="00DB0D33">
        <w:t xml:space="preserve">specific </w:t>
      </w:r>
      <w:r>
        <w:t xml:space="preserve">wildlife habitat. For example, </w:t>
      </w:r>
      <w:r w:rsidR="008B3B87">
        <w:t xml:space="preserve">although </w:t>
      </w:r>
      <w:r>
        <w:t xml:space="preserve">less than 1% of the area in WHAs </w:t>
      </w:r>
      <w:r w:rsidR="00FB7F0A">
        <w:t xml:space="preserve">was </w:t>
      </w:r>
      <w:r>
        <w:t>affected</w:t>
      </w:r>
      <w:r w:rsidR="00EB3039">
        <w:t>,</w:t>
      </w:r>
      <w:r>
        <w:t xml:space="preserve"> over 20% of the shoreline areas set aside for American </w:t>
      </w:r>
      <w:r w:rsidR="00321C85">
        <w:t>W</w:t>
      </w:r>
      <w:r>
        <w:t xml:space="preserve">hite </w:t>
      </w:r>
      <w:r w:rsidR="00321C85">
        <w:t>P</w:t>
      </w:r>
      <w:r>
        <w:t xml:space="preserve">elicans </w:t>
      </w:r>
      <w:r w:rsidR="008B3B87">
        <w:t xml:space="preserve">was </w:t>
      </w:r>
      <w:r>
        <w:t>affected. However</w:t>
      </w:r>
      <w:r w:rsidR="008B3B87">
        <w:t>,</w:t>
      </w:r>
      <w:r>
        <w:t xml:space="preserve"> more generally, species associated with the trees in closed forest canopies decline following crown fires, whereas those associated with open forest conditions and snags increase</w:t>
      </w:r>
      <w:r w:rsidR="002F6866">
        <w:t xml:space="preserve"> their populations</w:t>
      </w:r>
      <w:r>
        <w:t xml:space="preserve">. Species associated with early successional shrub and herb understories (e.g., ungulates) generally benefit following </w:t>
      </w:r>
      <w:r w:rsidR="00AD2298">
        <w:t>wildfire</w:t>
      </w:r>
      <w:r>
        <w:t>, whereas those associated with large woody debris may decrease until new</w:t>
      </w:r>
      <w:r w:rsidR="002F6866">
        <w:t>,</w:t>
      </w:r>
      <w:r>
        <w:t xml:space="preserve"> down</w:t>
      </w:r>
      <w:r w:rsidR="002F6866">
        <w:t>ed</w:t>
      </w:r>
      <w:r>
        <w:t xml:space="preserve"> wood is recruited.</w:t>
      </w:r>
      <w:r>
        <w:fldChar w:fldCharType="begin"/>
      </w:r>
      <w:r w:rsidR="004C2E00">
        <w:instrText xml:space="preserve"> ADDIN ZOTERO_ITEM CSL_CITATION {"citationID":"9TNr7imY","properties":{"formattedCitation":"{\\rtf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p>
    <w:p w14:paraId="2E9FBC86" w14:textId="58867677" w:rsidR="00137BDB" w:rsidRDefault="00137BDB" w:rsidP="00137BDB">
      <w:pPr>
        <w:jc w:val="both"/>
      </w:pPr>
      <w:r>
        <w:t>The effects of post-</w:t>
      </w:r>
      <w:r w:rsidR="00AD2298">
        <w:t>wildfire</w:t>
      </w:r>
      <w:r>
        <w:t xml:space="preserve"> logging are somewhat less ambiguous. While </w:t>
      </w:r>
      <w:r w:rsidR="00AD2298">
        <w:t>wildfire</w:t>
      </w:r>
      <w:r>
        <w:t xml:space="preserve"> has a positive or neutral effect on cavity</w:t>
      </w:r>
      <w:r w:rsidR="00016C77">
        <w:t>-</w:t>
      </w:r>
      <w:r>
        <w:t>nesting birds; post-</w:t>
      </w:r>
      <w:r w:rsidR="00AD2298">
        <w:t>wildfire</w:t>
      </w:r>
      <w:r>
        <w:t xml:space="preserve"> logging usually has a negative effect. Lewis’ woodpecker (</w:t>
      </w:r>
      <w:r w:rsidRPr="00785D15">
        <w:rPr>
          <w:i/>
        </w:rPr>
        <w:t>Melanerpes lewis</w:t>
      </w:r>
      <w:r>
        <w:t>) may benefit from limited post-</w:t>
      </w:r>
      <w:r w:rsidR="00AD2298">
        <w:t>wildfire</w:t>
      </w:r>
      <w:r>
        <w:t xml:space="preserve"> logging because it accelerates the development of open stands. Black-backed woodpeckers (</w:t>
      </w:r>
      <w:r w:rsidRPr="00785D15">
        <w:rPr>
          <w:i/>
        </w:rPr>
        <w:t>Picoides arcticus</w:t>
      </w:r>
      <w:r>
        <w:t>) and three-toed woodpeckers (</w:t>
      </w:r>
      <w:r w:rsidRPr="00785D15">
        <w:rPr>
          <w:i/>
        </w:rPr>
        <w:t>P. tridactylus</w:t>
      </w:r>
      <w:r>
        <w:t>) are associated with dense stands and snags, and would likely not benefit from post-</w:t>
      </w:r>
      <w:r w:rsidR="00AD2298">
        <w:t>wildfire</w:t>
      </w:r>
      <w:r>
        <w:t xml:space="preserve"> logging.</w:t>
      </w:r>
      <w:r>
        <w:fldChar w:fldCharType="begin"/>
      </w:r>
      <w:r w:rsidR="004C2E00">
        <w:instrText xml:space="preserve"> ADDIN ZOTERO_ITEM CSL_CITATION {"citationID":"KqxRDBCk","properties":{"formattedCitation":"{\\rtf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p>
    <w:p w14:paraId="411021DE" w14:textId="543C49BD" w:rsidR="00137BDB" w:rsidRDefault="00137BDB" w:rsidP="00137BDB">
      <w:pPr>
        <w:jc w:val="both"/>
      </w:pPr>
      <w:r>
        <w:t>There are relatively f</w:t>
      </w:r>
      <w:r w:rsidRPr="004A3494">
        <w:t xml:space="preserve">ew studies </w:t>
      </w:r>
      <w:r>
        <w:t>which have</w:t>
      </w:r>
      <w:r w:rsidRPr="004A3494">
        <w:t xml:space="preserve"> examined effects </w:t>
      </w:r>
      <w:r>
        <w:t>of post-</w:t>
      </w:r>
      <w:r w:rsidR="00AD2298">
        <w:t>wildfire</w:t>
      </w:r>
      <w:r>
        <w:t xml:space="preserve"> logging </w:t>
      </w:r>
      <w:r w:rsidRPr="004A3494">
        <w:t>on early-seral species that may benefit</w:t>
      </w:r>
      <w:r>
        <w:t xml:space="preserve"> from salvage</w:t>
      </w:r>
      <w:r w:rsidRPr="004A3494">
        <w:t xml:space="preserve">. </w:t>
      </w:r>
      <w:r>
        <w:t>A study of the</w:t>
      </w:r>
      <w:r w:rsidRPr="004A3494">
        <w:t xml:space="preserve"> effects of post</w:t>
      </w:r>
      <w:r>
        <w:t>-</w:t>
      </w:r>
      <w:r w:rsidR="00AD2298">
        <w:t>wildfire</w:t>
      </w:r>
      <w:r w:rsidRPr="004A3494">
        <w:t xml:space="preserve"> logging </w:t>
      </w:r>
      <w:r w:rsidR="00DB0D33">
        <w:t xml:space="preserve">sites </w:t>
      </w:r>
      <w:r w:rsidRPr="004A3494">
        <w:t xml:space="preserve">on </w:t>
      </w:r>
      <w:r w:rsidR="00016C77">
        <w:t xml:space="preserve">relationships (i.e., </w:t>
      </w:r>
      <w:r w:rsidRPr="004A3494">
        <w:t>trophic dynamics</w:t>
      </w:r>
      <w:r w:rsidR="00016C77">
        <w:t>)</w:t>
      </w:r>
      <w:r w:rsidRPr="004A3494">
        <w:t xml:space="preserve"> between wolves (</w:t>
      </w:r>
      <w:r w:rsidRPr="00825A5F">
        <w:rPr>
          <w:i/>
        </w:rPr>
        <w:t>Canis lupus</w:t>
      </w:r>
      <w:r w:rsidRPr="004A3494">
        <w:t xml:space="preserve">), three ungulate species and ungulate forage biomass during the first </w:t>
      </w:r>
      <w:r w:rsidR="008B3B87">
        <w:t>three</w:t>
      </w:r>
      <w:r w:rsidRPr="004A3494">
        <w:t xml:space="preserve"> years </w:t>
      </w:r>
      <w:r>
        <w:t xml:space="preserve">after </w:t>
      </w:r>
      <w:r w:rsidRPr="004A3494">
        <w:t>a large burn in the Canadian Rockies</w:t>
      </w:r>
      <w:r>
        <w:t xml:space="preserve"> found that w</w:t>
      </w:r>
      <w:r w:rsidRPr="004A3494">
        <w:t xml:space="preserve">olves selected </w:t>
      </w:r>
      <w:r>
        <w:t>post-</w:t>
      </w:r>
      <w:r w:rsidR="00AD2298">
        <w:t>wildfire</w:t>
      </w:r>
      <w:r>
        <w:t xml:space="preserve"> logging that </w:t>
      </w:r>
      <w:r w:rsidR="00EE4F4F">
        <w:t xml:space="preserve">was </w:t>
      </w:r>
      <w:r>
        <w:t>close to roads and had</w:t>
      </w:r>
      <w:r w:rsidRPr="004A3494">
        <w:t xml:space="preserve"> high forage biomass </w:t>
      </w:r>
      <w:r>
        <w:t>because of the logged openings</w:t>
      </w:r>
      <w:r w:rsidRPr="004A3494">
        <w:t>. This translated to the highest predation risk for elk in post</w:t>
      </w:r>
      <w:r>
        <w:t>-</w:t>
      </w:r>
      <w:r w:rsidR="00AD2298">
        <w:t>wildfire</w:t>
      </w:r>
      <w:r w:rsidRPr="004A3494">
        <w:t xml:space="preserve"> logged areas. </w:t>
      </w:r>
      <w:r>
        <w:t>U</w:t>
      </w:r>
      <w:r w:rsidRPr="004A3494">
        <w:t>ngulates avoided post</w:t>
      </w:r>
      <w:r>
        <w:t>-</w:t>
      </w:r>
      <w:r w:rsidR="00AD2298">
        <w:t>wildfire</w:t>
      </w:r>
      <w:r w:rsidRPr="004A3494">
        <w:t xml:space="preserve"> logged areas because </w:t>
      </w:r>
      <w:r>
        <w:t>of the</w:t>
      </w:r>
      <w:r w:rsidRPr="004A3494">
        <w:t xml:space="preserve"> predation risk</w:t>
      </w:r>
      <w:r>
        <w:t xml:space="preserve"> and</w:t>
      </w:r>
      <w:r w:rsidRPr="004A3494">
        <w:t xml:space="preserve"> </w:t>
      </w:r>
      <w:r w:rsidRPr="006C1741">
        <w:t>despite</w:t>
      </w:r>
      <w:r w:rsidRPr="004A3494">
        <w:t xml:space="preserve"> enhancements to forage biomass</w:t>
      </w:r>
      <w:r>
        <w:t>.</w:t>
      </w:r>
      <w:r>
        <w:fldChar w:fldCharType="begin"/>
      </w:r>
      <w:r w:rsidR="009F50B6">
        <w:instrText xml:space="preserve"> ADDIN ZOTERO_ITEM CSL_CITATION {"citationID":"an2nv9rkeb","properties":{"formattedCitation":"{\\rtf \\super 61\\nosupersub{}}","plainCitation":"61"},"citationItems":[{"id":622,"uris":["http://zotero.org/users/2487980/items/FRMSDD9D"],"uri":["http://zotero.org/users/2487980/items/FRMSDD9D"],"itemData":{"id":622,"type":"article-journal","title":"Trophic consequences of postfire logging in a wolf–ungulate system","container-title":"Forest Ecology and Management","page":"1053-1062","volume":"257","issue":"3","source":"ScienceDirect","abstract":"Controversy surrounds postfire logging, often because of negative effects on snag-dependent wildlife species. Few studies, however, have examined effects on early-seral species that may benefit from postfire logging, nor effects on trophic relationships. We studied the effects of postfire logging on trophic dynamics between wolves (Canis lupus), three ungulate species and ungulate forage biomass during the first 3 years in a large burn in the Canadian Rockies, Alberta, Canada. We examined plant biomass and ungulate responses to two treatments (post- and prefire logging) compared to a burned but unlogged area (control). We evaluated resource selection for the three treatments by elk (Cervus elaphus) using radiotelemetry and for deer (Odocoileus spp.), moose (Alces alces), and, secondarily, elk using pellet counts. Elk resource selection was modeled as a function of the trade-off between wolf predation risk and herbaceous forage biomass to test for trophic impacts of postfire treatments. Postfire logging had transient effects on total herbaceous biomass; while forb biomass was reduced, increases in graminoid biomass more than compensated by the third year. Prefire logging areas were dominated by a few species, but had generally higher forage biomass by the third year. Ungulates avoided postfire and prefire logged areas despite greater herbaceous biomass. Only when we considered elk resource selection as a function of both forage and wolf predation risk was the extent to which trophic interactions affected by postfire logging revealed. Wolves selected proximity to roads and the higher forage biomass associated with postfire logging in open logged areas. This translated to the highest predation risk for elk in postfire logged areas. Thus, ungulates avoided postfire logged areas because of human alteration of top-down predation risk despite enhancements to bottom-up forage biomass. Managers should consider trophic consequences of postfire logging on the interactions among species when gauging logging effects on terrestrial ecosystems. Making use of existing roads, minimizing the construction of new roads, and managing road removal following postfire logging will help mitigate the negative effects of postfire logging on terrestrial ecosystems.","DOI":"10.1016/j.foreco.2008.11.009","ISSN":"0378-1127","journalAbbreviation":"Forest Ecology and Management","author":[{"family":"Hebblewhite","given":"M."},{"family":"Munro","given":"R. H."},{"family":"Merrill","given":"E. H."}],"issued":{"date-parts":[["2009",2,10]]}}}],"schema":"https://github.com/citation-style-language/schema/raw/master/csl-citation.json"} </w:instrText>
      </w:r>
      <w:r>
        <w:fldChar w:fldCharType="separate"/>
      </w:r>
      <w:r w:rsidR="009F50B6" w:rsidRPr="009F50B6">
        <w:rPr>
          <w:rFonts w:ascii="Calibri" w:hAnsi="Calibri" w:cs="Calibri"/>
          <w:szCs w:val="24"/>
          <w:vertAlign w:val="superscript"/>
        </w:rPr>
        <w:t>61</w:t>
      </w:r>
      <w:r>
        <w:fldChar w:fldCharType="end"/>
      </w:r>
      <w:r>
        <w:t xml:space="preserve"> The authors of the study concluded that </w:t>
      </w:r>
      <w:r w:rsidR="00DB0D33">
        <w:t>managing hunting</w:t>
      </w:r>
      <w:r w:rsidR="00016C77">
        <w:t>-</w:t>
      </w:r>
      <w:r w:rsidR="00DB0D33">
        <w:t xml:space="preserve">related </w:t>
      </w:r>
      <w:r>
        <w:t>access was a principal and relatively easily managed concern related to post-</w:t>
      </w:r>
      <w:r w:rsidR="00AD2298">
        <w:t>wildfire</w:t>
      </w:r>
      <w:r>
        <w:t xml:space="preserve"> logging.</w:t>
      </w:r>
      <w:r>
        <w:fldChar w:fldCharType="begin"/>
      </w:r>
      <w:r w:rsidR="009F50B6">
        <w:instrText xml:space="preserve"> ADDIN ZOTERO_ITEM CSL_CITATION {"citationID":"hcbuY5Kq","properties":{"formattedCitation":"{\\rtf \\super 61\\nosupersub{}}","plainCitation":"61"},"citationItems":[{"id":622,"uris":["http://zotero.org/users/2487980/items/FRMSDD9D"],"uri":["http://zotero.org/users/2487980/items/FRMSDD9D"],"itemData":{"id":622,"type":"article-journal","title":"Trophic consequences of postfire logging in a wolf–ungulate system","container-title":"Forest Ecology and Management","page":"1053-1062","volume":"257","issue":"3","source":"ScienceDirect","abstract":"Controversy surrounds postfire logging, often because of negative effects on snag-dependent wildlife species. Few studies, however, have examined effects on early-seral species that may benefit from postfire logging, nor effects on trophic relationships. We studied the effects of postfire logging on trophic dynamics between wolves (Canis lupus), three ungulate species and ungulate forage biomass during the first 3 years in a large burn in the Canadian Rockies, Alberta, Canada. We examined plant biomass and ungulate responses to two treatments (post- and prefire logging) compared to a burned but unlogged area (control). We evaluated resource selection for the three treatments by elk (Cervus elaphus) using radiotelemetry and for deer (Odocoileus spp.), moose (Alces alces), and, secondarily, elk using pellet counts. Elk resource selection was modeled as a function of the trade-off between wolf predation risk and herbaceous forage biomass to test for trophic impacts of postfire treatments. Postfire logging had transient effects on total herbaceous biomass; while forb biomass was reduced, increases in graminoid biomass more than compensated by the third year. Prefire logging areas were dominated by a few species, but had generally higher forage biomass by the third year. Ungulates avoided postfire and prefire logged areas despite greater herbaceous biomass. Only when we considered elk resource selection as a function of both forage and wolf predation risk was the extent to which trophic interactions affected by postfire logging revealed. Wolves selected proximity to roads and the higher forage biomass associated with postfire logging in open logged areas. This translated to the highest predation risk for elk in postfire logged areas. Thus, ungulates avoided postfire logged areas because of human alteration of top-down predation risk despite enhancements to bottom-up forage biomass. Managers should consider trophic consequences of postfire logging on the interactions among species when gauging logging effects on terrestrial ecosystems. Making use of existing roads, minimizing the construction of new roads, and managing road removal following postfire logging will help mitigate the negative effects of postfire logging on terrestrial ecosystems.","DOI":"10.1016/j.foreco.2008.11.009","ISSN":"0378-1127","journalAbbreviation":"Forest Ecology and Management","author":[{"family":"Hebblewhite","given":"M."},{"family":"Munro","given":"R. H."},{"family":"Merrill","given":"E. H."}],"issued":{"date-parts":[["2009",2,10]]}}}],"schema":"https://github.com/citation-style-language/schema/raw/master/csl-citation.json"} </w:instrText>
      </w:r>
      <w:r>
        <w:fldChar w:fldCharType="separate"/>
      </w:r>
      <w:r w:rsidR="009F50B6" w:rsidRPr="009F50B6">
        <w:rPr>
          <w:rFonts w:ascii="Calibri" w:hAnsi="Calibri" w:cs="Calibri"/>
          <w:szCs w:val="24"/>
          <w:vertAlign w:val="superscript"/>
        </w:rPr>
        <w:t>61</w:t>
      </w:r>
      <w:r>
        <w:fldChar w:fldCharType="end"/>
      </w:r>
    </w:p>
    <w:p w14:paraId="22F01C8A" w14:textId="27E5C399" w:rsidR="00137BDB" w:rsidRDefault="00137BDB" w:rsidP="00137BDB">
      <w:pPr>
        <w:jc w:val="both"/>
      </w:pPr>
      <w:r>
        <w:t xml:space="preserve">A meta-analysis across 24 species groups revealed that salvage logging significantly decreases numbers of species of eight taxonomic groups. Richness of </w:t>
      </w:r>
      <w:r w:rsidR="00470F90">
        <w:t xml:space="preserve">taxa dependent on </w:t>
      </w:r>
      <w:r>
        <w:t>dead wood (i.e. saproxylic organisms) decreased more strongly than richness of non-saproxylic taxa. In contrast, taxonomic groups typically associated with open habitats increased in the number of species after salvage logging</w:t>
      </w:r>
      <w:r w:rsidR="00494962">
        <w:t>.</w:t>
      </w:r>
      <w:r>
        <w:fldChar w:fldCharType="begin"/>
      </w:r>
      <w:r w:rsidR="0012005A">
        <w:instrText xml:space="preserve"> ADDIN ZOTERO_ITEM CSL_CITATION {"citationID":"Yo05tQ6r","properties":{"formattedCitation":"{\\rtf \\super 13\\nosupersub{}}","plainCitation":"13"},"citationItems":[{"id":662,"uris":["http://zotero.org/users/2487980/items/E292D336"],"uri":["http://zotero.org/users/2487980/items/E292D336"],"itemData":{"id":662,"type":"article-journal","title":"Impacts of salvage logging on biodiversity: a meta-analysis","container-title":"Journal of Applied Ecology","page":"n/a-n/a","source":"Wiley Online Library","abstract":"*\nLogging to “salvage” economic returns from forests affected by natural disturbances has become increasingly prevalent globally. Despite potential negative effects on biodiversity, salvage logging is often conducted, even in areas otherwise excluded from logging and reserved for nature conservation, inter alia because strategic priorities for post-disturbance management are widely lacking.\n\n\n\n*\nA review of the existing literature revealed that most studies investigating the effects of salvage logging on biodiversity have been conducted less than 5 years following natural disturbances, and focused on non-saproxylic organisms.\n\n\n\n*\nA meta-analysis across 24 species groups revealed that salvage logging significantly decreases numbers of species of eight taxonomic groups. Richness of dead wood dependent taxa (i.e. saproxylic organisms) decreased more strongly than richness of non-saproxylic taxa. In contrast, taxonomic groups typically associated with open habitats increased in the number of species after salvage logging.\n\n\n\n*\nBy analysing 134 original species abundance matrices, we demonstrate that salvage logging significantly alters community composition in 7 of 17 species groups, particularly affecting saproxylic assemblages.\n\n\n\n*\nSynthesis and applications. Our results suggest that salvage logging is not consistent with the management objectives of protected areas. Substantial changes, such as the retention of dead wood in naturally disturbed forests, are needed to support biodiversity. Future research should investigate the amount and spatio-temporal distribution of retained dead wood needed to maintain all components of biodiversity.","DOI":"10.1111/1365-2664.12945","ISSN":"1365-2664","shortTitle":"Impacts of salvage logging on biodiversity","journalAbbreviation":"J Appl Ecol","language":"en","author":[{"family":"Thorn","given":"Simon"},{"family":"Bässler","given":"Claus"},{"family":"Brandl","given":"Roland"},{"family":"Burton","given":"Philip J."},{"family":"Cahall","given":"Rebecca"},{"family":"Campbell","given":"John L."},{"family":"Castro","given":"Jorge"},{"family":"Choi","given":"Chang-Yong"},{"family":"Cobb","given":"Tyler"},{"family":"Donato","given":"Daniel C."},{"family":"Durska","given":"Ewa"},{"family":"Fontaine","given":"Joseph B."},{"family":"Gauthier","given":"Sylvie"},{"family":"Hebert","given":"Christian"},{"family":"Hothorn","given":"Torsten"},{"family":"Hutto","given":"Richard L."},{"family":"Lee","given":"Eun-Jae"},{"family":"Leverkus","given":"Alexandro B."},{"family":"Lindenmayer","given":"David B."},{"family":"Obrist","given":"Martin K."},{"family":"Rost","given":"Josep"},{"family":"Seibold","given":"Sebastian"},{"family":"Seidl","given":"Rupert"},{"family":"Thom","given":"Dominik"},{"family":"Waldron","given":"Kaysandra"},{"family":"Wermelinger","given":"Beat"},{"family":"Winter","given":"Maria-Barbara"},{"family":"Zmihorski","given":"Michal"},{"family":"Müller","given":"Jörg"}],"issued":{"date-parts":[["2017"]]}}}],"schema":"https://github.com/citation-style-language/schema/raw/master/csl-citation.json"} </w:instrText>
      </w:r>
      <w:r>
        <w:fldChar w:fldCharType="separate"/>
      </w:r>
      <w:r w:rsidR="0012005A" w:rsidRPr="007610F7">
        <w:rPr>
          <w:rFonts w:ascii="Calibri" w:hAnsi="Calibri" w:cs="Calibri"/>
          <w:szCs w:val="24"/>
          <w:vertAlign w:val="superscript"/>
        </w:rPr>
        <w:t>13</w:t>
      </w:r>
      <w:r>
        <w:fldChar w:fldCharType="end"/>
      </w:r>
      <w:r>
        <w:t xml:space="preserve"> The authors concluded that any negative effects of salvage logging could be partly mitigated by employing a green tree retention approach and by leaving substantial amounts of deadwood on site to reduce the impact of salvage logging on biodiversity.</w:t>
      </w:r>
      <w:r>
        <w:fldChar w:fldCharType="begin"/>
      </w:r>
      <w:r w:rsidR="0012005A">
        <w:instrText xml:space="preserve"> ADDIN ZOTERO_ITEM CSL_CITATION {"citationID":"j5KRoKqb","properties":{"formattedCitation":"{\\rtf \\super 13\\nosupersub{}}","plainCitation":"13"},"citationItems":[{"id":662,"uris":["http://zotero.org/users/2487980/items/E292D336"],"uri":["http://zotero.org/users/2487980/items/E292D336"],"itemData":{"id":662,"type":"article-journal","title":"Impacts of salvage logging on biodiversity: a meta-analysis","container-title":"Journal of Applied Ecology","page":"n/a-n/a","source":"Wiley Online Library","abstract":"*\nLogging to “salvage” economic returns from forests affected by natural disturbances has become increasingly prevalent globally. Despite potential negative effects on biodiversity, salvage logging is often conducted, even in areas otherwise excluded from logging and reserved for nature conservation, inter alia because strategic priorities for post-disturbance management are widely lacking.\n\n\n\n*\nA review of the existing literature revealed that most studies investigating the effects of salvage logging on biodiversity have been conducted less than 5 years following natural disturbances, and focused on non-saproxylic organisms.\n\n\n\n*\nA meta-analysis across 24 species groups revealed that salvage logging significantly decreases numbers of species of eight taxonomic groups. Richness of dead wood dependent taxa (i.e. saproxylic organisms) decreased more strongly than richness of non-saproxylic taxa. In contrast, taxonomic groups typically associated with open habitats increased in the number of species after salvage logging.\n\n\n\n*\nBy analysing 134 original species abundance matrices, we demonstrate that salvage logging significantly alters community composition in 7 of 17 species groups, particularly affecting saproxylic assemblages.\n\n\n\n*\nSynthesis and applications. Our results suggest that salvage logging is not consistent with the management objectives of protected areas. Substantial changes, such as the retention of dead wood in naturally disturbed forests, are needed to support biodiversity. Future research should investigate the amount and spatio-temporal distribution of retained dead wood needed to maintain all components of biodiversity.","DOI":"10.1111/1365-2664.12945","ISSN":"1365-2664","shortTitle":"Impacts of salvage logging on biodiversity","journalAbbreviation":"J Appl Ecol","language":"en","author":[{"family":"Thorn","given":"Simon"},{"family":"Bässler","given":"Claus"},{"family":"Brandl","given":"Roland"},{"family":"Burton","given":"Philip J."},{"family":"Cahall","given":"Rebecca"},{"family":"Campbell","given":"John L."},{"family":"Castro","given":"Jorge"},{"family":"Choi","given":"Chang-Yong"},{"family":"Cobb","given":"Tyler"},{"family":"Donato","given":"Daniel C."},{"family":"Durska","given":"Ewa"},{"family":"Fontaine","given":"Joseph B."},{"family":"Gauthier","given":"Sylvie"},{"family":"Hebert","given":"Christian"},{"family":"Hothorn","given":"Torsten"},{"family":"Hutto","given":"Richard L."},{"family":"Lee","given":"Eun-Jae"},{"family":"Leverkus","given":"Alexandro B."},{"family":"Lindenmayer","given":"David B."},{"family":"Obrist","given":"Martin K."},{"family":"Rost","given":"Josep"},{"family":"Seibold","given":"Sebastian"},{"family":"Seidl","given":"Rupert"},{"family":"Thom","given":"Dominik"},{"family":"Waldron","given":"Kaysandra"},{"family":"Wermelinger","given":"Beat"},{"family":"Winter","given":"Maria-Barbara"},{"family":"Zmihorski","given":"Michal"},{"family":"Müller","given":"Jörg"}],"issued":{"date-parts":[["2017"]]}}}],"schema":"https://github.com/citation-style-language/schema/raw/master/csl-citation.json"} </w:instrText>
      </w:r>
      <w:r>
        <w:fldChar w:fldCharType="separate"/>
      </w:r>
      <w:r w:rsidR="0012005A" w:rsidRPr="007610F7">
        <w:rPr>
          <w:rFonts w:ascii="Calibri" w:hAnsi="Calibri" w:cs="Calibri"/>
          <w:szCs w:val="24"/>
          <w:vertAlign w:val="superscript"/>
        </w:rPr>
        <w:t>13</w:t>
      </w:r>
      <w:r>
        <w:fldChar w:fldCharType="end"/>
      </w:r>
    </w:p>
    <w:p w14:paraId="4C8ACFF4" w14:textId="3326BEE8" w:rsidR="00137BDB" w:rsidRDefault="00A11FC5" w:rsidP="00E415FE">
      <w:pPr>
        <w:jc w:val="both"/>
      </w:pPr>
      <w:r w:rsidRPr="00EF0B95">
        <w:t>I</w:t>
      </w:r>
      <w:r w:rsidR="00137BDB" w:rsidRPr="00EF0B95">
        <w:t>n B</w:t>
      </w:r>
      <w:r w:rsidR="00470F90">
        <w:t>.C.</w:t>
      </w:r>
      <w:r w:rsidR="00137BDB" w:rsidRPr="00EF0B95">
        <w:t xml:space="preserve">, salvage logging as a management response to the mountain pine beetle outbreak </w:t>
      </w:r>
      <w:r w:rsidR="0015056D" w:rsidRPr="00EF0B95">
        <w:t>has</w:t>
      </w:r>
      <w:r w:rsidR="00614707">
        <w:t xml:space="preserve"> been shown to have </w:t>
      </w:r>
      <w:r w:rsidR="00113EA4" w:rsidRPr="00EF0B95">
        <w:t xml:space="preserve">some </w:t>
      </w:r>
      <w:r w:rsidR="00137BDB" w:rsidRPr="00EF0B95">
        <w:t>negative</w:t>
      </w:r>
      <w:r w:rsidR="00DB0D33" w:rsidRPr="00EF0B95">
        <w:t xml:space="preserve"> effects on</w:t>
      </w:r>
      <w:r w:rsidR="00137BDB" w:rsidRPr="00EF0B95">
        <w:t xml:space="preserve"> ecosystem resilience; primarily because salvage logging creates</w:t>
      </w:r>
      <w:r w:rsidR="00FB7F0A" w:rsidRPr="00EF0B95">
        <w:t xml:space="preserve"> </w:t>
      </w:r>
      <w:r w:rsidR="00137BDB" w:rsidRPr="00EF0B95">
        <w:t xml:space="preserve">homogeneous landscape structure and composition that </w:t>
      </w:r>
      <w:r w:rsidR="00EE4F4F" w:rsidRPr="00EF0B95">
        <w:t xml:space="preserve">is </w:t>
      </w:r>
      <w:r w:rsidR="00137BDB" w:rsidRPr="00EF0B95">
        <w:t>less resilient to future disturbances.</w:t>
      </w:r>
      <w:r w:rsidR="00137BDB" w:rsidRPr="00EF0B95">
        <w:fldChar w:fldCharType="begin"/>
      </w:r>
      <w:r w:rsidR="009F50B6" w:rsidRPr="00EF0B95">
        <w:instrText xml:space="preserve"> ADDIN ZOTERO_ITEM CSL_CITATION {"citationID":"E1PtOWio","properties":{"formattedCitation":"{\\rtf \\super 62\\nosupersub{}}","plainCitation":"62"},"citationItems":[{"id":712,"uris":["http://zotero.org/users/2487980/items/XPBZ2VI2"],"uri":["http://zotero.org/users/2487980/items/XPBZ2VI2"],"itemData":{"id":712,"type":"article-journal","title":"Aftermath of Mountain Pine Beetle Outbreak in British Columbia: Stand Dynamics, Management Response and Ecosystem Resilience","container-title":"Forests","page":"171","volume":"7","issue":"8","source":"www.mdpi.com","abstract":"The mountain pine beetle (Dendroctonus ponderosae Hopkins) (MPB) has infested and killed millions of hectares of lodgepole pine (Pinus contorta var. latifolia Engelm) forests in British Columbia, Canada, over the past decade. It is now spreading out of its native range into the Canadian boreal forest, with unknown social, economic and ecological consequences. This review explores the ramifications of the MPB epidemic with respect to mid-term timber supply, forest growth, structure and composition, vegetation diversity, forest fire, climate change, and ecosystem resilience. Research confirms that, in British Columbia, all of these variables are more significantly impacted when salvage logging is used as management response to the outbreak. We conclude that appropriate management in response to MPB is essential to ensuring ecologically resilient future forests and reliable mid-term timber supplies for affected human communities. We highlight knowledge gaps and avenues for research to advance our understanding in support of sustainable post-disturbance forest management policies in British Columbia and elsewhere.","DOI":"10.3390/f7080171","shortTitle":"Aftermath of Mountain Pine Beetle Outbreak in British Columbia","language":"en","author":[{"family":"Dhar","given":"Amalesh"},{"family":"Parrott","given":"Lael"},{"family":"Hawkins","given":"Christopher D. B."}],"issued":{"date-parts":[["2016",8,5]]}}}],"schema":"https://github.com/citation-style-language/schema/raw/master/csl-citation.json"} </w:instrText>
      </w:r>
      <w:r w:rsidR="00137BDB" w:rsidRPr="00EF0B95">
        <w:fldChar w:fldCharType="separate"/>
      </w:r>
      <w:r w:rsidR="009F50B6" w:rsidRPr="00EF0B95">
        <w:rPr>
          <w:rFonts w:ascii="Calibri" w:hAnsi="Calibri" w:cs="Calibri"/>
          <w:szCs w:val="24"/>
          <w:vertAlign w:val="superscript"/>
        </w:rPr>
        <w:t>62</w:t>
      </w:r>
      <w:r w:rsidR="00137BDB" w:rsidRPr="00EF0B95">
        <w:fldChar w:fldCharType="end"/>
      </w:r>
      <w:r w:rsidR="00137BDB" w:rsidRPr="00EF0B95">
        <w:rPr>
          <w:vertAlign w:val="superscript"/>
        </w:rPr>
        <w:t>,</w:t>
      </w:r>
      <w:r w:rsidR="00137BDB" w:rsidRPr="00EF0B95">
        <w:fldChar w:fldCharType="begin"/>
      </w:r>
      <w:r w:rsidR="009F50B6" w:rsidRPr="00EF0B95">
        <w:instrText xml:space="preserve"> ADDIN ZOTERO_ITEM CSL_CITATION {"citationID":"U1LkM1v0","properties":{"formattedCitation":"{\\rtf \\super 63\\nosupersub{}}","plainCitation":"63"},"citationItems":[{"id":611,"uris":["http://zotero.org/users/2487980/items/NX7AWFM6"],"uri":["http://zotero.org/users/2487980/items/NX7AWFM6"],"itemData":{"id":611,"type":"article-journal","title":"Disturbance legacies increase the resilience of forest ecosystem structure, composition, and functioning","container-title":"Ecological Applications","page":"2063-2077","volume":"24","issue":"8","source":"Wiley Online Library","abstract":"Disturbances are key drivers of forest ecosystem dynamics, and forests are well adapted to their natural disturbance regimes. However, as a result of climate change, disturbance frequency is expected to increase in the future in many regions. It is not yet clear how such changes might affect forest ecosystems, and which mechanisms contribute to (current and future) disturbance resilience. We studied a 6364-ha landscape in the western Cascades of Oregon, USA, to investigate how patches of remnant old-growth trees (as one important class of biological legacies) affect the resilience of forest ecosystems to disturbance. Using the spatially explicit, individual-based, forest landscape model iLand, we analyzed the effect of three different levels of remnant patches (0%, 12%, and 24% of the landscape) on 500-year recovery trajectories after a large, high-severity wildfire. In addition, we evaluated how three different levels of fire frequency modulate the effects of initial legacies. We found that remnant live trees enhanced the recovery of total ecosystem carbon (TEC) stocks after disturbance, increased structural complexity of forest canopies, and facilitated the recolonization of late-seral species (LSS). Legacy effects were most persistent for indicators of species composition (still significant 500 years after disturbance), while TEC (i.e., a measure of ecosystem functioning) was least affected, with no significant differences among legacy scenarios after 236 years. Compounding disturbances were found to dampen legacy effects on all indicators, and higher initial legacy levels resulted in elevated fire severity in the second half of the study period. Overall, disturbance frequency had a stronger effect on ecosystem properties than the initial level of remnant old-growth trees. A doubling of the historically observed fire frequency to a mean fire return interval of 131 years reduced TEC by 10.5% and lowered the presence of LSS on the landscape by 18.1% on average, demonstrating that an increase in disturbance frequency (a potential climate change effect) may considerably alter the structure, composition, and functioning of forest landscapes. Our results indicate that live tree legacies are an important component of disturbance resilience, underlining the potential of retention forestry to address challenges in ecosystem management.","DOI":"10.1890/14-0255.1","ISSN":"1939-5582","language":"en","author":[{"family":"Seidl","given":"Rupert"},{"family":"Rammer","given":"Werner"},{"family":"Spies","given":"Thomas A."}],"issued":{"date-parts":[["2014",12,1]]}}}],"schema":"https://github.com/citation-style-language/schema/raw/master/csl-citation.json"} </w:instrText>
      </w:r>
      <w:r w:rsidR="00137BDB" w:rsidRPr="00EF0B95">
        <w:fldChar w:fldCharType="separate"/>
      </w:r>
      <w:r w:rsidR="009F50B6" w:rsidRPr="00EF0B95">
        <w:rPr>
          <w:rFonts w:ascii="Calibri" w:hAnsi="Calibri" w:cs="Calibri"/>
          <w:szCs w:val="24"/>
          <w:vertAlign w:val="superscript"/>
        </w:rPr>
        <w:t>63</w:t>
      </w:r>
      <w:r w:rsidR="00137BDB" w:rsidRPr="00EF0B95">
        <w:fldChar w:fldCharType="end"/>
      </w:r>
      <w:r w:rsidR="00137BDB" w:rsidRPr="00EF0B95">
        <w:t xml:space="preserve"> In contrast, un-salvaged stands create heterogeneous forests that can recover </w:t>
      </w:r>
      <w:r w:rsidR="00EE4F4F" w:rsidRPr="00EF0B95">
        <w:t xml:space="preserve">more </w:t>
      </w:r>
      <w:r w:rsidR="00137BDB" w:rsidRPr="00EF0B95">
        <w:t>quickly</w:t>
      </w:r>
      <w:r w:rsidR="002F6866" w:rsidRPr="00EF0B95">
        <w:t>,</w:t>
      </w:r>
      <w:r w:rsidR="00137BDB" w:rsidRPr="00EF0B95">
        <w:t xml:space="preserve"> as a significant portion of biological legacies (e.g., surviving trees, snags and logs, patches of intact vegetation, seedbanks in tree crowns or in the soil) of that particular ecosystem remain intact. These early-successional forest ecosystems</w:t>
      </w:r>
      <w:r w:rsidR="002F6866" w:rsidRPr="00EF0B95">
        <w:t xml:space="preserve"> – known as </w:t>
      </w:r>
      <w:r w:rsidR="00137BDB" w:rsidRPr="00EF0B95">
        <w:t xml:space="preserve">‘complex early seral forests’ </w:t>
      </w:r>
      <w:r w:rsidR="002F6866" w:rsidRPr="00EF0B95">
        <w:t xml:space="preserve">– that </w:t>
      </w:r>
      <w:r w:rsidR="00137BDB" w:rsidRPr="00EF0B95">
        <w:t xml:space="preserve">develop after </w:t>
      </w:r>
      <w:r w:rsidR="00137BDB" w:rsidRPr="00EF0B95">
        <w:lastRenderedPageBreak/>
        <w:t>natural disturbances</w:t>
      </w:r>
      <w:r w:rsidR="002F6866" w:rsidRPr="00EF0B95">
        <w:t>,</w:t>
      </w:r>
      <w:r w:rsidR="00137BDB" w:rsidRPr="00EF0B95">
        <w:t xml:space="preserve"> are diverse</w:t>
      </w:r>
      <w:r w:rsidR="002F6866" w:rsidRPr="00EF0B95">
        <w:t>,</w:t>
      </w:r>
      <w:r w:rsidR="00137BDB" w:rsidRPr="00EF0B95">
        <w:t xml:space="preserve"> and often rich in biological legacies. Management activities, such as post-disturbance logging and tree planting, can reduce the richness within and the duration of early-successional ecosystems. Where maintenance of biodiversity is an objective, the importance and value of these natural early-successional ecosystems are key.</w:t>
      </w:r>
      <w:r w:rsidR="00137BDB" w:rsidRPr="00EF0B95">
        <w:fldChar w:fldCharType="begin"/>
      </w:r>
      <w:r w:rsidR="009F50B6" w:rsidRPr="00EF0B95">
        <w:instrText xml:space="preserve"> ADDIN ZOTERO_ITEM CSL_CITATION {"citationID":"mfgbnwMR","properties":{"formattedCitation":"{\\rtf \\super 64,65\\nosupersub{}}","plainCitation":"64,65"},"citationItems":[{"id":775,"uris":["http://zotero.org/users/2487980/items/TVEUJKZ6"],"uri":["http://zotero.org/users/2487980/items/TVEUJKZ6"],"itemData":{"id":775,"type":"article-journal","title":"The forgotten stage of forest succession: early-successional ecosystems on forest sites","container-title":"Frontiers in Ecology and the Environment","page":"117-125","volume":"9","issue":"2","source":"Wiley Online Library","abstract":"Early-successional forest ecosystems that develop after stand-replacing or partial disturbances are diverse in species, processes, and structure. Post-disturbance ecosystems are also often rich in biological legacies, including surviving organisms and organically derived structures, such as woody debris. These legacies and post-disturbance plant communities provide resources that attract and sustain high species diversity, including numerous early-successional obligates, such as certain woodpeckers and arthropods. Early succession is the only period when tree canopies do not dominate the forest site, and so this stage can be characterized by high productivity of plant species (including herbs and shrubs), complex food webs, large nutrient fluxes, and high structural and spatial complexity. Different disturbances contrast markedly in terms of biological legacies, and this will influence the resultant physical and biological conditions, thus affecting successional pathways. Management activities, such as post-disturbance logging and dense tree planting, can reduce the richness within and the duration of early-successional ecosystems. Where maintenance of biodiversity is an objective, the importance and value of these natural early-successional ecosystems are underappreciated.","DOI":"10.1890/090157","ISSN":"1540-9309","shortTitle":"The forgotten stage of forest succession","language":"en","author":[{"family":"Swanson","given":"Mark E"},{"family":"Franklin","given":"Jerry F"},{"family":"Beschta","given":"Robert L"},{"family":"Crisafulli","given":"Charles M"},{"family":"DellaSala","given":"Dominick A"},{"family":"Hutto","given":"Richard L"},{"family":"Lindenmayer","given":"David B"},{"family":"Swanson","given":"Frederick J"}],"issued":{"date-parts":[["2011",3,1]]}}},{"id":690,"uris":["http://zotero.org/users/2487980/items/EAXFK5VN"],"uri":["http://zotero.org/users/2487980/items/EAXFK5VN"],"itemData":{"id":690,"type":"article-journal","title":"Complex Early Seral Forests of the Sierra Nevada: What are They and How Can They Be Managed for Ecological Integrity?","container-title":"Natural Areas Journal","page":"310-324","volume":"34","issue":"3","source":"bioone.org (Atypon)","abstract":":   Complex early seral forests (CESFs) occupy potentially forested sites after a stand-replacement disturbance and before re-establishment of a closed-forest canopy. Such young forests contain numbers and kinds of biological legacies missing from those produced by commercial forestry operations. In the Sierra Nevada of California, CESFs are most often produced by mixed-severity fires, which include landscape patches burned at high severity. These forests support diverse plant and wildlife communities rarely found elsewhere in the Sierra Nevada. Severe fires are, therefore, essential to the region's ecological integrity. Ecologically detrimental management of CESFs, or unburned forests that may become CESF's following fire, is degrading the region's globally outstanding qualities. Unlike old-growth forests. CESFs have received little attention in conservation and reserve management. Thus, we describe important ecological attributes of CESFs and distinguish them from early serai conditions created by logging. We recommend eight best management practices in CESFs for achieving ecological integrity on federal lands in the mixed-conifer region of the Sierra Nevada.","DOI":"10.3375/043.034.0317","ISSN":"0885-8608","shortTitle":"Complex Early Seral Forests of the Sierra Nevada","journalAbbreviation":"Natural Areas Journal","author":[{"family":"DellaSala","given":"Dominick A."},{"family":"Bond","given":"Monica L."},{"family":"Hanson","given":"Chad T."},{"family":"Hutto","given":"Richard L."},{"family":"Odion","given":"Dennis C."}],"issued":{"date-parts":[["2014",7,1]]}}}],"schema":"https://github.com/citation-style-language/schema/raw/master/csl-citation.json"} </w:instrText>
      </w:r>
      <w:r w:rsidR="00137BDB" w:rsidRPr="00EF0B95">
        <w:fldChar w:fldCharType="separate"/>
      </w:r>
      <w:r w:rsidR="009F50B6" w:rsidRPr="00EF0B95">
        <w:rPr>
          <w:rFonts w:ascii="Calibri" w:hAnsi="Calibri" w:cs="Calibri"/>
          <w:szCs w:val="24"/>
          <w:vertAlign w:val="superscript"/>
        </w:rPr>
        <w:t>64,65</w:t>
      </w:r>
      <w:r w:rsidR="00137BDB" w:rsidRPr="00EF0B95">
        <w:fldChar w:fldCharType="end"/>
      </w:r>
      <w:r w:rsidR="00137BDB">
        <w:t xml:space="preserve"> </w:t>
      </w:r>
    </w:p>
    <w:p w14:paraId="0458B1CA" w14:textId="454F0A5F" w:rsidR="00137BDB" w:rsidRDefault="00137BDB" w:rsidP="00137BDB">
      <w:pPr>
        <w:pStyle w:val="Heading2"/>
      </w:pPr>
      <w:bookmarkStart w:id="77" w:name="_Toc498345458"/>
      <w:bookmarkStart w:id="78" w:name="_Toc498345846"/>
      <w:bookmarkStart w:id="79" w:name="_Toc498345916"/>
      <w:bookmarkStart w:id="80" w:name="_Toc498952962"/>
      <w:bookmarkStart w:id="81" w:name="_Toc503934758"/>
      <w:r w:rsidRPr="0007406D">
        <w:t>Uncertainty</w:t>
      </w:r>
      <w:bookmarkEnd w:id="77"/>
      <w:bookmarkEnd w:id="78"/>
      <w:bookmarkEnd w:id="79"/>
      <w:bookmarkEnd w:id="80"/>
      <w:bookmarkEnd w:id="81"/>
    </w:p>
    <w:p w14:paraId="59A9464F" w14:textId="0901C5FD" w:rsidR="00137BDB" w:rsidRPr="0000146E" w:rsidRDefault="00137BDB" w:rsidP="00137BDB">
      <w:pPr>
        <w:jc w:val="both"/>
      </w:pPr>
      <w:r w:rsidRPr="0007406D">
        <w:t>There are numerous sources of uncertainty influencing post-wildfire recovery. Some of these can be anticipated and addressed</w:t>
      </w:r>
      <w:r>
        <w:t>; others cannot</w:t>
      </w:r>
      <w:r w:rsidRPr="0007406D">
        <w:t xml:space="preserve">. </w:t>
      </w:r>
      <w:r w:rsidR="008709C1">
        <w:t>First</w:t>
      </w:r>
      <w:r>
        <w:t>,</w:t>
      </w:r>
      <w:r w:rsidRPr="0007406D">
        <w:t xml:space="preserve"> there may be mismatches between </w:t>
      </w:r>
      <w:r w:rsidR="00DA4D85">
        <w:t xml:space="preserve">relevant </w:t>
      </w:r>
      <w:r w:rsidRPr="0007406D">
        <w:t>scale</w:t>
      </w:r>
      <w:r w:rsidR="00DA4D85">
        <w:t>s of processes of interest</w:t>
      </w:r>
      <w:r w:rsidR="008709C1">
        <w:t>,</w:t>
      </w:r>
      <w:r w:rsidRPr="0007406D">
        <w:t xml:space="preserve"> and </w:t>
      </w:r>
      <w:r w:rsidR="00DA4D85">
        <w:t xml:space="preserve">the </w:t>
      </w:r>
      <w:r w:rsidRPr="0007406D">
        <w:t xml:space="preserve">metrics </w:t>
      </w:r>
      <w:r w:rsidR="00DA4D85">
        <w:t>used to evaluate them.</w:t>
      </w:r>
      <w:r w:rsidRPr="0007406D">
        <w:t xml:space="preserve"> </w:t>
      </w:r>
      <w:r w:rsidR="008709C1">
        <w:t>For example:</w:t>
      </w:r>
      <w:r w:rsidR="00DA4D85">
        <w:t xml:space="preserve"> </w:t>
      </w:r>
      <w:r w:rsidR="00235BEA">
        <w:t>stand-level</w:t>
      </w:r>
      <w:r w:rsidR="00DA4D85">
        <w:t xml:space="preserve"> processes like</w:t>
      </w:r>
      <w:r>
        <w:t xml:space="preserve"> generation of </w:t>
      </w:r>
      <w:r w:rsidRPr="0007406D">
        <w:t>sedimentation</w:t>
      </w:r>
      <w:r w:rsidR="009F1237">
        <w:t>;</w:t>
      </w:r>
      <w:r w:rsidR="00DA4D85">
        <w:t xml:space="preserve"> or</w:t>
      </w:r>
      <w:r w:rsidRPr="00B450D8">
        <w:t xml:space="preserve"> </w:t>
      </w:r>
      <w:r w:rsidR="00DA4D85">
        <w:t>declines</w:t>
      </w:r>
      <w:r>
        <w:t xml:space="preserve"> </w:t>
      </w:r>
      <w:r w:rsidR="00DA4D85">
        <w:t xml:space="preserve">in </w:t>
      </w:r>
      <w:r>
        <w:t>species’</w:t>
      </w:r>
      <w:r w:rsidRPr="00B450D8">
        <w:t xml:space="preserve"> reproduct</w:t>
      </w:r>
      <w:r w:rsidR="00DA4D85">
        <w:t>ive rates</w:t>
      </w:r>
      <w:r w:rsidRPr="00B450D8">
        <w:t xml:space="preserve"> </w:t>
      </w:r>
      <w:r w:rsidR="00284B08">
        <w:t>linked to</w:t>
      </w:r>
      <w:r w:rsidR="00DA4D85">
        <w:t xml:space="preserve"> the absence of</w:t>
      </w:r>
      <w:r w:rsidRPr="00B450D8">
        <w:t xml:space="preserve"> </w:t>
      </w:r>
      <w:r w:rsidR="008709C1">
        <w:t xml:space="preserve">key </w:t>
      </w:r>
      <w:r w:rsidRPr="00B450D8">
        <w:t>habitat</w:t>
      </w:r>
      <w:r w:rsidR="00284B08">
        <w:t xml:space="preserve"> elements</w:t>
      </w:r>
      <w:r w:rsidR="00DA4D85">
        <w:t xml:space="preserve"> such as snags</w:t>
      </w:r>
      <w:r w:rsidRPr="00B450D8">
        <w:t xml:space="preserve"> </w:t>
      </w:r>
      <w:r w:rsidR="00DA4D85">
        <w:t xml:space="preserve">may not be detected by </w:t>
      </w:r>
      <w:r w:rsidR="00DA4D85" w:rsidRPr="00B450D8">
        <w:t xml:space="preserve"> </w:t>
      </w:r>
      <w:r w:rsidRPr="00B450D8">
        <w:t xml:space="preserve">harm prevention assessments </w:t>
      </w:r>
      <w:r w:rsidR="009F1237">
        <w:t xml:space="preserve">at the landscape-level, </w:t>
      </w:r>
      <w:r w:rsidR="00DA4D85">
        <w:t xml:space="preserve">such </w:t>
      </w:r>
      <w:r w:rsidRPr="00B450D8">
        <w:t>watershe</w:t>
      </w:r>
      <w:r>
        <w:t>d</w:t>
      </w:r>
      <w:r w:rsidR="00470F90">
        <w:t>-</w:t>
      </w:r>
      <w:r>
        <w:t>level assessments</w:t>
      </w:r>
      <w:r w:rsidR="00DA4D85">
        <w:t xml:space="preserve"> of sedimentation</w:t>
      </w:r>
      <w:r w:rsidR="009F1237">
        <w:t>;</w:t>
      </w:r>
      <w:r>
        <w:t xml:space="preserve"> </w:t>
      </w:r>
      <w:r w:rsidR="00DA4D85">
        <w:t xml:space="preserve">or </w:t>
      </w:r>
      <w:r>
        <w:t>population-level</w:t>
      </w:r>
      <w:r w:rsidR="00DA4D85">
        <w:t xml:space="preserve"> counts of species presence</w:t>
      </w:r>
      <w:r w:rsidR="008709C1">
        <w:t>.</w:t>
      </w:r>
      <w:r w:rsidR="000E0CEA" w:rsidRPr="00EB3039">
        <w:fldChar w:fldCharType="begin"/>
      </w:r>
      <w:r w:rsidR="000E0CEA">
        <w:instrText xml:space="preserve"> ADDIN ZOTERO_ITEM CSL_CITATION {"citationID":"ZNtAaGpR","properties":{"formattedCitation":"{\\rtf \\super 37\\nosupersub{}}","plainCitation":"37"},"citationItems":[{"id":935,"uris":["http://zotero.org/users/2487980/items/GAV69CPB"],"uri":["http://zotero.org/users/2487980/items/GAV69CPB"],"itemData":{"id":935,"type":"report","title":"Thresholds in habitat supply: A review of the literature","publisher":"Ministry of Water, Land and Air Protection","publisher-place":"Victoria BC","page":"117","genre":"Wildlife Report","event-place":"Victoria BC","URL":"https://www.for.gov.bc.ca/tasb/slrp/citbc/b-Thresh-Dykstra-Sep04.pdf","number":"r-27","author":[{"family":"Dykstra","given":"Pamela"}],"issued":{"date-parts":[["2004"]]},"accessed":{"date-parts":[["2017",11,20]]}}}],"schema":"https://github.com/citation-style-language/schema/raw/master/csl-citation.json"} </w:instrText>
      </w:r>
      <w:r w:rsidR="000E0CEA" w:rsidRPr="00EB3039">
        <w:fldChar w:fldCharType="separate"/>
      </w:r>
      <w:r w:rsidR="000E0CEA" w:rsidRPr="009F50B6">
        <w:rPr>
          <w:rFonts w:ascii="Calibri" w:hAnsi="Calibri" w:cs="Calibri"/>
          <w:szCs w:val="24"/>
          <w:vertAlign w:val="superscript"/>
        </w:rPr>
        <w:t>37</w:t>
      </w:r>
      <w:r w:rsidR="000E0CEA" w:rsidRPr="00EB3039">
        <w:fldChar w:fldCharType="end"/>
      </w:r>
      <w:r w:rsidR="008709C1" w:rsidRPr="00465779">
        <w:rPr>
          <w:vertAlign w:val="superscript"/>
        </w:rPr>
        <w:t>,</w:t>
      </w:r>
      <w:r>
        <w:fldChar w:fldCharType="begin"/>
      </w:r>
      <w:r w:rsidR="004C2E00">
        <w:instrText xml:space="preserve"> ADDIN ZOTERO_ITEM CSL_CITATION {"citationID":"GXWCNIoR","properties":{"formattedCitation":"{\\rtf \\super 8\\nosupersub{}}","plainCitation":"8"},"citationItems":[{"id":610,"uris":["http://zotero.org/users/2487980/items/3MA9CEJ9"],"uri":["http://zotero.org/users/2487980/items/3MA9CEJ9"],"itemData":{"id":610,"type":"report","title":"Effects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S."}],"issued":{"date-parts":[["2009"]]},"accessed":{"date-parts":[["2017",8,28]]}}}],"schema":"https://github.com/citation-style-language/schema/raw/master/csl-citation.json"} </w:instrText>
      </w:r>
      <w:r>
        <w:fldChar w:fldCharType="separate"/>
      </w:r>
      <w:r w:rsidR="004C2E00" w:rsidRPr="004C2E00">
        <w:rPr>
          <w:rFonts w:ascii="Calibri" w:hAnsi="Calibri" w:cs="Calibri"/>
          <w:szCs w:val="24"/>
          <w:vertAlign w:val="superscript"/>
        </w:rPr>
        <w:t>8</w:t>
      </w:r>
      <w:r>
        <w:fldChar w:fldCharType="end"/>
      </w:r>
      <w:r w:rsidR="000E0CEA">
        <w:rPr>
          <w:rFonts w:ascii="Calibri" w:hAnsi="Calibri" w:cs="Calibri"/>
          <w:szCs w:val="24"/>
          <w:vertAlign w:val="superscript"/>
        </w:rPr>
        <w:t>2</w:t>
      </w:r>
      <w:r w:rsidRPr="0007406D">
        <w:t xml:space="preserve"> T</w:t>
      </w:r>
      <w:r>
        <w:t xml:space="preserve">hese sources of uncertainty can </w:t>
      </w:r>
      <w:r w:rsidR="008709C1">
        <w:t>(</w:t>
      </w:r>
      <w:r>
        <w:t>at least in theory</w:t>
      </w:r>
      <w:r w:rsidR="008709C1">
        <w:t>)</w:t>
      </w:r>
      <w:r>
        <w:t xml:space="preserve"> </w:t>
      </w:r>
      <w:r w:rsidRPr="0007406D">
        <w:t>be corrected</w:t>
      </w:r>
      <w:r w:rsidR="0006212C">
        <w:t>, reconciled</w:t>
      </w:r>
      <w:r w:rsidRPr="0007406D">
        <w:t xml:space="preserve"> or minimized</w:t>
      </w:r>
      <w:r w:rsidR="008709C1">
        <w:t>,</w:t>
      </w:r>
      <w:r w:rsidRPr="0007406D">
        <w:t xml:space="preserve"> by involving t</w:t>
      </w:r>
      <w:r w:rsidRPr="00B450D8">
        <w:t xml:space="preserve">he appropriate experts, and using </w:t>
      </w:r>
      <w:r>
        <w:t xml:space="preserve">better </w:t>
      </w:r>
      <w:r w:rsidRPr="00B450D8">
        <w:t xml:space="preserve">data to inform decision making. </w:t>
      </w:r>
    </w:p>
    <w:p w14:paraId="321C4FD3" w14:textId="05E1DE58" w:rsidR="00561EEF" w:rsidRDefault="00137BDB" w:rsidP="00137BDB">
      <w:pPr>
        <w:jc w:val="both"/>
        <w:rPr>
          <w:rFonts w:cstheme="minorHAnsi"/>
        </w:rPr>
      </w:pPr>
      <w:r>
        <w:rPr>
          <w:rFonts w:cstheme="minorHAnsi"/>
        </w:rPr>
        <w:t>Other sources of uncertainty may be anticipated, but poorly quantified</w:t>
      </w:r>
      <w:r w:rsidR="008709C1">
        <w:rPr>
          <w:rFonts w:cstheme="minorHAnsi"/>
        </w:rPr>
        <w:t>.</w:t>
      </w:r>
      <w:r>
        <w:rPr>
          <w:rFonts w:cstheme="minorHAnsi"/>
        </w:rPr>
        <w:t xml:space="preserve"> </w:t>
      </w:r>
      <w:r w:rsidR="008709C1">
        <w:rPr>
          <w:rFonts w:cstheme="minorHAnsi"/>
        </w:rPr>
        <w:t>F</w:t>
      </w:r>
      <w:r>
        <w:rPr>
          <w:rFonts w:cstheme="minorHAnsi"/>
        </w:rPr>
        <w:t>or example, we expect directional climate influences in the affected forests, but there are broad predictions in the magnitude and timing of these changes</w:t>
      </w:r>
      <w:r w:rsidR="008709C1">
        <w:rPr>
          <w:rFonts w:cstheme="minorHAnsi"/>
        </w:rPr>
        <w:t>, with multiple plausible outcomes</w:t>
      </w:r>
      <w:r>
        <w:rPr>
          <w:rFonts w:cstheme="minorHAnsi"/>
        </w:rPr>
        <w:t>. Yet other sources of uncertainty may not even be anticipated</w:t>
      </w:r>
      <w:r w:rsidR="004B1A0B">
        <w:rPr>
          <w:rFonts w:cstheme="minorHAnsi"/>
        </w:rPr>
        <w:t xml:space="preserve"> – “the unknown unknowns”</w:t>
      </w:r>
      <w:r>
        <w:rPr>
          <w:rFonts w:cstheme="minorHAnsi"/>
        </w:rPr>
        <w:t>; for example, the recovery pathways that could occur in the wildfire landscapes following multiple past and ongoing, interacting disturbances.</w:t>
      </w:r>
      <w:r w:rsidR="00561EEF">
        <w:rPr>
          <w:rFonts w:cstheme="minorHAnsi"/>
        </w:rPr>
        <w:t xml:space="preserve"> </w:t>
      </w:r>
    </w:p>
    <w:p w14:paraId="2F573D3A" w14:textId="4B131BFE" w:rsidR="00877AFF" w:rsidRDefault="005A7F12" w:rsidP="00137BDB">
      <w:pPr>
        <w:jc w:val="both"/>
        <w:rPr>
          <w:rFonts w:cstheme="minorHAnsi"/>
        </w:rPr>
      </w:pPr>
      <w:r>
        <w:rPr>
          <w:rFonts w:cstheme="minorHAnsi"/>
        </w:rPr>
        <w:t xml:space="preserve">While </w:t>
      </w:r>
      <w:r w:rsidR="00561EEF">
        <w:rPr>
          <w:rFonts w:cstheme="minorHAnsi"/>
        </w:rPr>
        <w:t xml:space="preserve">they are </w:t>
      </w:r>
      <w:r>
        <w:rPr>
          <w:rFonts w:cstheme="minorHAnsi"/>
        </w:rPr>
        <w:t>affected by</w:t>
      </w:r>
      <w:r w:rsidR="00561EEF">
        <w:rPr>
          <w:rFonts w:cstheme="minorHAnsi"/>
        </w:rPr>
        <w:t xml:space="preserve"> multiple,</w:t>
      </w:r>
      <w:r>
        <w:rPr>
          <w:rFonts w:cstheme="minorHAnsi"/>
        </w:rPr>
        <w:t xml:space="preserve"> widespread, </w:t>
      </w:r>
      <w:r w:rsidR="00561EEF">
        <w:rPr>
          <w:rFonts w:cstheme="minorHAnsi"/>
        </w:rPr>
        <w:t>severe disturbances</w:t>
      </w:r>
      <w:r>
        <w:rPr>
          <w:rFonts w:cstheme="minorHAnsi"/>
        </w:rPr>
        <w:t>, there is</w:t>
      </w:r>
      <w:r w:rsidRPr="001C4256">
        <w:rPr>
          <w:rFonts w:cstheme="minorHAnsi"/>
        </w:rPr>
        <w:t xml:space="preserve"> inadequate understanding </w:t>
      </w:r>
      <w:r>
        <w:rPr>
          <w:rFonts w:cstheme="minorHAnsi"/>
        </w:rPr>
        <w:t xml:space="preserve">about the ‘’boundaries’’ of resilience (Box 2) in the </w:t>
      </w:r>
      <w:r w:rsidR="00561EEF">
        <w:rPr>
          <w:rFonts w:cstheme="minorHAnsi"/>
        </w:rPr>
        <w:t xml:space="preserve">ecosystems </w:t>
      </w:r>
      <w:r w:rsidR="004E45ED">
        <w:rPr>
          <w:rFonts w:cstheme="minorHAnsi"/>
        </w:rPr>
        <w:t>burned in</w:t>
      </w:r>
      <w:r w:rsidR="00561EEF">
        <w:rPr>
          <w:rFonts w:cstheme="minorHAnsi"/>
        </w:rPr>
        <w:t xml:space="preserve"> the 2017 wildfires</w:t>
      </w:r>
      <w:r>
        <w:rPr>
          <w:rFonts w:cstheme="minorHAnsi"/>
        </w:rPr>
        <w:t>. T</w:t>
      </w:r>
      <w:r w:rsidR="004E45ED">
        <w:rPr>
          <w:rFonts w:cstheme="minorHAnsi"/>
        </w:rPr>
        <w:t>he</w:t>
      </w:r>
      <w:r>
        <w:rPr>
          <w:rFonts w:cstheme="minorHAnsi"/>
        </w:rPr>
        <w:t xml:space="preserve"> </w:t>
      </w:r>
      <w:r w:rsidRPr="001C4256">
        <w:rPr>
          <w:rFonts w:cstheme="minorHAnsi"/>
        </w:rPr>
        <w:t xml:space="preserve">consequences of exceeding </w:t>
      </w:r>
      <w:r>
        <w:rPr>
          <w:rFonts w:cstheme="minorHAnsi"/>
        </w:rPr>
        <w:t>resilience boundaries</w:t>
      </w:r>
      <w:r w:rsidR="004E45ED">
        <w:rPr>
          <w:rFonts w:cstheme="minorHAnsi"/>
        </w:rPr>
        <w:t xml:space="preserve"> are similarly unknown</w:t>
      </w:r>
      <w:r>
        <w:rPr>
          <w:rFonts w:cstheme="minorHAnsi"/>
        </w:rPr>
        <w:t xml:space="preserve">, particularly </w:t>
      </w:r>
      <w:r w:rsidR="004E45ED">
        <w:rPr>
          <w:rFonts w:cstheme="minorHAnsi"/>
        </w:rPr>
        <w:t>given</w:t>
      </w:r>
      <w:r>
        <w:rPr>
          <w:rFonts w:cstheme="minorHAnsi"/>
        </w:rPr>
        <w:t xml:space="preserve"> </w:t>
      </w:r>
      <w:r w:rsidR="004E45ED">
        <w:rPr>
          <w:rFonts w:cstheme="minorHAnsi"/>
        </w:rPr>
        <w:t>the uncertainty around future</w:t>
      </w:r>
      <w:r>
        <w:rPr>
          <w:rFonts w:cstheme="minorHAnsi"/>
        </w:rPr>
        <w:t xml:space="preserve"> climate.</w:t>
      </w:r>
    </w:p>
    <w:p w14:paraId="16871C7C" w14:textId="54AD6AE3" w:rsidR="005A7F12" w:rsidRDefault="00137BDB" w:rsidP="00137BDB">
      <w:pPr>
        <w:jc w:val="both"/>
        <w:rPr>
          <w:rFonts w:cstheme="minorHAnsi"/>
        </w:rPr>
      </w:pPr>
      <w:r>
        <w:rPr>
          <w:rFonts w:cstheme="minorHAnsi"/>
        </w:rPr>
        <w:t>The idea of ecological resilience and t</w:t>
      </w:r>
      <w:r w:rsidRPr="00D5259A">
        <w:rPr>
          <w:rFonts w:cstheme="minorHAnsi"/>
        </w:rPr>
        <w:t xml:space="preserve">hresholds </w:t>
      </w:r>
      <w:r w:rsidR="00194B2A">
        <w:rPr>
          <w:rFonts w:cstheme="minorHAnsi"/>
        </w:rPr>
        <w:t xml:space="preserve">in the context of climate change </w:t>
      </w:r>
      <w:r w:rsidRPr="00D5259A">
        <w:rPr>
          <w:rFonts w:cstheme="minorHAnsi"/>
        </w:rPr>
        <w:t>should make us realize that systems under management are capable of producing unexpected, non-linear responses to management actions in surprising circumstances</w:t>
      </w:r>
      <w:r>
        <w:rPr>
          <w:rFonts w:cstheme="minorHAnsi"/>
        </w:rPr>
        <w:t>.</w:t>
      </w:r>
      <w:r w:rsidRPr="001C4256">
        <w:rPr>
          <w:rFonts w:cstheme="minorHAnsi"/>
        </w:rPr>
        <w:fldChar w:fldCharType="begin"/>
      </w:r>
      <w:r w:rsidR="004C2E00">
        <w:rPr>
          <w:rFonts w:cstheme="minorHAnsi"/>
        </w:rPr>
        <w:instrText xml:space="preserve"> ADDIN ZOTERO_ITEM CSL_CITATION {"citationID":"RZpE7rWu","properties":{"formattedCitation":"{\\rtf \\super 14,30,66\\nosupersub{}}","plainCitation":"14,30,66"},"citationItems":[{"id":895,"uris":["http://zotero.org/users/2487980/items/IV3GH29V"],"uri":["http://zotero.org/users/2487980/items/IV3GH29V"],"itemData":{"id":895,"type":"article-journal","title":"Command and Control and the Pathology of Natural Resource Management","container-title":"Conservation Biology","page":"328-337","volume":"10","issue":"2","source":"Wiley Online Library","abstract":"As the human population grows and natural resources decline, there is pressure to apply increasing levels of top-down, command-and-control management to natural resources. This is manifested in attempts to control ecosystems and in socioeconomic institutions that respond to erratic or surprising ecosystem behavior with more control. Command and control, however, usually results in unforeseen consequences for both natural ecosystems and human welfare in the form of collapsing resources, social and economic strife, and losses of biological diversity. We describe the “pathology of natural resource management,” defined as a loss of system resilience when the range of natural variation in the system is reduced encapsulates the unsustainable environmental, social, and economic outcomes of command-and-control resource management. If natural levels of variation in system behavior are reduced through command-and-control, then the system becomes less resilient to external perturbations, resulting in crises and surprises. We provide several examples of this pathology in management. An ultimate pathology emerges when resource management agencies, through initial success with command and control, lose sight of their original purposes, eliminate research and monitoring, and focus on efficiency of control. They then become isolated from the managed systems and inflexible in structure. Simultaneously, through overcapitalization, society becomes dependent upon command and control, demands it in greater intensity, and ignores the underlying ecological change or collapse that is developing. Solutions to this pathology cannot come from further command and control (regulations) but must come from innovative approaches involving incentives leading to more resilient ecosystems, more flexible agencies, more self-reliant industries, and a more knowledgeable citizenry. We discuss several aspects of ecosystem pattern and dynamics at large scales that provide insight into ecosystem resilience, and we propose a “Golden Rule” of natural resource management that we believe is necessary for sustainability: management should strive to retain critical types and ranges of natural variation in resource systems in order to maintain their resiliency.","DOI":"10.1046/j.1523-1739.1996.10020328.x","ISSN":"1523-1739","language":"en","author":[{"family":"Holling","given":"C.s."},{"family":"Meffe","given":"Gary K."}],"issued":{"date-parts":[["1996",4,1]]}}},{"id":899,"uris":["http://zotero.org/users/2487980/items/YKKSHFCY"],"uri":["http://zotero.org/users/2487980/items/YKKSHFCY"],"itemData":{"id":899,"type":"article-journal","title":"Dealing with Non-linearity and Uncertainty in Forest Management","container-title":"Current Forestry Reports","page":"150-161","volume":"2","issue":"2","source":"link.springer.com","abstract":"Forest managers today are struggling with the great uncertainties and rapid changes in many biophysical and socioeconomic aspects of their work. We argue in this review that viewing forests and forest management as complex adaptive systems and acknowledging non-linearity and uncertainty in forest dynamics and management provide an alternative for both production- and conservation-oriented forests to the traditional command and control approaches that have been advocated so far in forestry. We first discuss the concepts of non-linearity and uncertainty in forest dynamics and management. We then propose a set of broad principles and approaches that are required for forest managers to better incorporate these new concepts into practices. These span from (1) relaxing and expanding the sustained-yield and single-good paradigm, (2) moving the target for assessing success in silviculture from predetermined strict outcomes for each and every stand to an envelope of possible outcomes that are acceptable for one or multiple stands, and (3) using approaches and modeling tools to assess as large a range of possible outcomes as possible instead of the traditional mainly deterministic and static modeling tools.","DOI":"10.1007/s40725-016-0036-x","ISSN":"2198-6436","journalAbbreviation":"Curr Forestry Rep","language":"en","author":[{"family":"Messier","given":"Christian"},{"family":"Puettmann","given":"Klaus"},{"family":"Filotas","given":"Elise"},{"family":"Coates","given":"Dave"}],"issued":{"date-parts":[["2016",6,1]]}}},{"id":987,"uris":["http://zotero.org/users/2487980/items/R4ZZN6CZ"],"uri":["http://zotero.org/users/2487980/items/R4ZZN6CZ"],"itemData":{"id":987,"type":"article-journal","title":"Evidence for declining forest resilience to wildfires under climate change","container-title":"Ecology Letters","page":"n/a-n/a","source":"Wiley Online Library","abstract":"Forest resilience to climate change is a global concern given the potential effects of increased disturbance activity, warming temperatures and increased moisture stress on plants. We used a multi-regional dataset of 1485 sites across 52 wildfires from the US Rocky Mountains to ask if and how changing climate over the last several decades impacted post-fire tree regeneration, a key indicator of forest resilience. Results highlight significant decreases in tree regeneration in the 21st century. Annual moisture deficits were significantly greater from 2000 to 2015 as compared to 1985–1999, suggesting increasingly unfavourable post-fire growing conditions, corresponding to significantly lower seedling densities and increased regeneration failure. Dry forests that already occur at the edge of their climatic tolerance are most prone to conversion to non-forests after wildfires. Major climate-induced reduction in forest density and extent has important consequences for a myriad of ecosystem services now and in the future.","DOI":"10.1111/ele.12889","ISSN":"1461-0248","journalAbbreviation":"Ecol Lett","language":"en","author":[{"family":"Stevens-Rumann","given":"Camille S."},{"family":"Kemp","given":"Kerry B."},{"family":"Higuera","given":"Philip E."},{"family":"Harvey","given":"Brian J."},{"family":"Rother","given":"Monica T."},{"family":"Donato","given":"Daniel C."},{"family":"Morgan","given":"Penelope"},{"family":"Veblen","given":"Thomas T."}]}}],"schema":"https://github.com/citation-style-language/schema/raw/master/csl-citation.json"} </w:instrText>
      </w:r>
      <w:r w:rsidRPr="001C4256">
        <w:rPr>
          <w:rFonts w:cstheme="minorHAnsi"/>
        </w:rPr>
        <w:fldChar w:fldCharType="separate"/>
      </w:r>
      <w:r w:rsidR="004C2E00" w:rsidRPr="004C2E00">
        <w:rPr>
          <w:rFonts w:ascii="Calibri" w:hAnsi="Calibri" w:cs="Calibri"/>
          <w:szCs w:val="24"/>
          <w:vertAlign w:val="superscript"/>
        </w:rPr>
        <w:t>14,30,66</w:t>
      </w:r>
      <w:r w:rsidRPr="001C4256">
        <w:rPr>
          <w:rFonts w:cstheme="minorHAnsi"/>
        </w:rPr>
        <w:fldChar w:fldCharType="end"/>
      </w:r>
      <w:r w:rsidRPr="00D5259A">
        <w:rPr>
          <w:rFonts w:cstheme="minorHAnsi"/>
        </w:rPr>
        <w:t xml:space="preserve"> </w:t>
      </w:r>
    </w:p>
    <w:p w14:paraId="25EB75BA" w14:textId="531865E4" w:rsidR="00561EEF" w:rsidRDefault="00F243E9" w:rsidP="0087334D">
      <w:pPr>
        <w:jc w:val="both"/>
        <w:rPr>
          <w:rFonts w:asciiTheme="majorHAnsi" w:eastAsiaTheme="majorEastAsia" w:hAnsiTheme="majorHAnsi" w:cstheme="majorBidi"/>
          <w:color w:val="2E74B5" w:themeColor="accent1" w:themeShade="BF"/>
          <w:sz w:val="26"/>
          <w:szCs w:val="26"/>
        </w:rPr>
      </w:pPr>
      <w:r>
        <w:rPr>
          <w:rFonts w:cstheme="minorHAnsi"/>
        </w:rPr>
        <w:t xml:space="preserve">These </w:t>
      </w:r>
      <w:r w:rsidR="00137BDB">
        <w:rPr>
          <w:rFonts w:cstheme="minorHAnsi"/>
        </w:rPr>
        <w:t>type</w:t>
      </w:r>
      <w:r>
        <w:rPr>
          <w:rFonts w:cstheme="minorHAnsi"/>
        </w:rPr>
        <w:t>s</w:t>
      </w:r>
      <w:r w:rsidR="00137BDB">
        <w:rPr>
          <w:rFonts w:cstheme="minorHAnsi"/>
        </w:rPr>
        <w:t xml:space="preserve"> of uncertainty, dubbed “deep uncertainty” to describe </w:t>
      </w:r>
      <w:r>
        <w:rPr>
          <w:rFonts w:cstheme="minorHAnsi"/>
        </w:rPr>
        <w:t>their intractable aspects</w:t>
      </w:r>
      <w:r w:rsidR="00137BDB">
        <w:rPr>
          <w:rFonts w:cstheme="minorHAnsi"/>
        </w:rPr>
        <w:t xml:space="preserve">, </w:t>
      </w:r>
      <w:r>
        <w:rPr>
          <w:rFonts w:cstheme="minorHAnsi"/>
        </w:rPr>
        <w:t xml:space="preserve">are </w:t>
      </w:r>
      <w:r w:rsidR="00137BDB">
        <w:rPr>
          <w:rFonts w:cstheme="minorHAnsi"/>
        </w:rPr>
        <w:t>a particular type of</w:t>
      </w:r>
      <w:r w:rsidR="00F621BD">
        <w:rPr>
          <w:rFonts w:cstheme="minorHAnsi"/>
        </w:rPr>
        <w:t xml:space="preserve"> “wicked” public policy problem</w:t>
      </w:r>
      <w:r w:rsidR="00AB7CF7">
        <w:rPr>
          <w:rFonts w:cstheme="minorHAnsi"/>
        </w:rPr>
        <w:t xml:space="preserve"> – </w:t>
      </w:r>
      <w:r>
        <w:rPr>
          <w:rFonts w:cstheme="minorHAnsi"/>
        </w:rPr>
        <w:t>one t</w:t>
      </w:r>
      <w:r w:rsidR="00F621BD">
        <w:rPr>
          <w:rFonts w:cstheme="minorHAnsi"/>
        </w:rPr>
        <w:t>hat calls for a response beyond the ordinary</w:t>
      </w:r>
      <w:r>
        <w:rPr>
          <w:rFonts w:cstheme="minorHAnsi"/>
        </w:rPr>
        <w:t>.</w:t>
      </w:r>
      <w:r w:rsidR="005A7F12" w:rsidRPr="001C4256">
        <w:rPr>
          <w:rFonts w:cstheme="minorHAnsi"/>
        </w:rPr>
        <w:fldChar w:fldCharType="begin"/>
      </w:r>
      <w:r w:rsidR="004C2E00">
        <w:rPr>
          <w:rFonts w:cstheme="minorHAnsi"/>
        </w:rPr>
        <w:instrText xml:space="preserve"> ADDIN ZOTERO_ITEM CSL_CITATION {"citationID":"SLezwAMV","properties":{"formattedCitation":"{\\rtf \\super 67\\uc0\\u8211{}70\\nosupersub{}}","plainCitation":"67–70"},"citationItems":[{"id":897,"uris":["http://zotero.org/users/2487980/items/9QIFX7WD"],"uri":["http://zotero.org/users/2487980/items/9QIFX7WD"],"itemData":{"id":897,"type":"article-journal","title":"Coping with the Wickedness of Public Policy Problems: Approaches for Decision Making under Deep Uncertainty","container-title":"Journal of Water Resources Planning and Management","page":"01816001","volume":"142","issue":"3","source":"ascelibrary.org (Atypon)","DOI":"10.1061/(ASCE)WR.1943-5452.0000626","shortTitle":"Coping with the Wickedness of Public Policy Problems","journalAbbreviation":"Journal of Water Resources Planning and Management","author":[{"literal":"Kwakkel Jan H."},{"literal":"Walker Warren E."},{"literal":"Haasnoot Marjolijn"}],"issued":{"date-parts":[["2016",3,1]]}}},{"id":1002,"uris":["http://zotero.org/users/2487980/items/689KSZAE"],"uri":["http://zotero.org/users/2487980/items/689KSZAE"],"itemData":{"id":1002,"type":"book","title":"Shaping the Next One Hundred Years: New Methods for Quantitative, Long-Term Policy Analysis","publisher":"Rand Corporation","number-of-pages":"211","source":"Google Books","abstract":"A sophisticated reader ought to view with great skepticism the prospect of answering questions about the long-term future. The checkered history of predicting the future-from the famous declarations that humans would never fly to the Limits to Growth study to claims about the \"New Economy\"-has dissuaded policymakers from considering the effects of their decisions more than a few months or years ahead. However, today's choices will significantly influence the course of the twenty-first century. New analytic methods, enabled by modern computers, may transform our ability to reason systematically about the long term. This report reviews traditional methods of grappling with the morrow, from narratives to scenario analysis, which fail to address the multiplicity of plausible long-term futures. The authors demonstrate a quantitative approach to long-term policy analysis (LTPA). Robust decision methods enable decisionmakers to examine a vast range of plausible futures and design near-term, often adaptive, strategies to be robust across them. Reframing the question \"What will the long-term future bring?\" as \"How can we choose actions today that will be consistent with our long-term interests?\" these methods provide powerful analytic support to humans' innate capacity for \"what-if-ing.\" Choosing the challenge of sustainable development as an example, the authors discuss how these methods may be applied to real-world LTPA and a wide range of other challenges of decisionmaking under conditions of deep uncertainty.","ISBN":"978-0-8330-3485-4","note":"Google-Books-ID: F2SzOwE0_bIC","shortTitle":"Shaping the Next One Hundred Years","language":"en","author":[{"family":"Lempert","given":"Robert J."}],"issued":{"date-parts":[["2003",7,18]]}}},{"id":1004,"uris":["http://zotero.org/users/2487980/items/KFGJYAPJ"],"uri":["http://zotero.org/users/2487980/items/KFGJYAPJ"],"itemData":{"id":1004,"type":"article-journal","title":"Defining Uncertainty: A Conceptual Basis for Uncertainty Management in Model-Based Decision Support","container-title":"Integrated Assessment","page":"5-17","volume":"4","issue":"1","source":"Taylor and Francis+NEJM","abstract":"The aim of this paper is to provide a conceptual basis for the systematic treatment of uncertainty in model-based decision support activities such as policy analysis, integrated assessment and risk assessment. It focuses on the uncertainty perceived from the point of view of those providing information to support policy decisions (i.e., the modellers’ view on uncertainty) – uncertainty regarding the analytical outcomes and conclusions of the decision support exercise. Within the regulatory and management sciences, there is neither commonly shared terminology nor full agreement on a typology of uncertainties. Our aim is to synthesise a wide variety of contributions on uncertainty in model-based decision support in order to provide an interdisciplinary theoretical framework for systematic uncertainty analysis. To that end we adopt a general definition of uncertainty as being any deviation from the unachievable ideal of completely deterministic knowledge of the relevant system. We further propose to discriminate among three dimensions of uncertainty: location, level and nature of uncertainty, and we harmonise existing typologies to further detail the concepts behind these three dimensions of uncertainty. We propose an uncertainty matrix as a heuristic tool to classify and report the various dimensions of uncertainty, thereby providing a conceptual framework for better communication among analysts as well as between them and policymakers and stakeholders. Understanding the various dimensions of uncertainty helps in identifying, articulating, and prioritising critical uncertainties, which is a crucial step to more adequate acknowledgement and treatment of uncertainty in decision support endeavours and more focused research on complex, inherently uncertain, policy issues.","DOI":"10.1076/iaij.4.1.5.16466","ISSN":"1389-5176","shortTitle":"Defining Uncertainty","author":[{"family":"Walker","given":"W. E."},{"family":"Harremoës","given":"P."},{"family":"Rotmans","given":"J."},{"family":"Sluijs","given":"J. P.","dropping-particle":"van der"},{"family":"Asselt","given":"M. B. A.","dropping-particle":"van"},{"family":"Janssen","given":"P."},{"family":"Krauss","given":"M. P. Krayer","dropping-particle":"von"}],"issued":{"date-parts":[["2003",3,1]]}}},{"id":1006,"uris":["http://zotero.org/users/2487980/items/96Q4EJSR"],"uri":["http://zotero.org/users/2487980/items/96Q4EJSR"],"itemData":{"id":1006,"type":"chapter","title":"Deep Uncertainty","container-title":"Encyclopedia of Operations Research and Management Science","publisher":"Springer, Boston, MA","page":"395-402","source":"link.springer.com","abstract":"IntroductionIntroductionThe notion of uncertainty has taken different meanings and emphases in various fields, including the physical sciences, engineering, statistics, economics, finance, insurance,...","URL":"https://link.springer.com/referenceworkentry/10.1007/978-1-4419-1153-7_1140","note":"DOI: 10.1007/978-1-4419-1153-7_1140","language":"en","author":[{"family":"Walker","given":"Warren E."},{"family":"Lempert","given":"Robert J."},{"family":"Kwakkel","given":"Jan H."}],"issued":{"date-parts":[["2013"]]},"accessed":{"date-parts":[["2018",1,15]]}}}],"schema":"https://github.com/citation-style-language/schema/raw/master/csl-citation.json"} </w:instrText>
      </w:r>
      <w:r w:rsidR="005A7F12" w:rsidRPr="001C4256">
        <w:rPr>
          <w:rFonts w:cstheme="minorHAnsi"/>
        </w:rPr>
        <w:fldChar w:fldCharType="separate"/>
      </w:r>
      <w:r w:rsidR="004C2E00" w:rsidRPr="004C2E00">
        <w:rPr>
          <w:rFonts w:ascii="Calibri" w:hAnsi="Calibri" w:cs="Calibri"/>
          <w:szCs w:val="24"/>
          <w:vertAlign w:val="superscript"/>
        </w:rPr>
        <w:t>67–70</w:t>
      </w:r>
      <w:r w:rsidR="005A7F12" w:rsidRPr="001C4256">
        <w:rPr>
          <w:rFonts w:cstheme="minorHAnsi"/>
        </w:rPr>
        <w:fldChar w:fldCharType="end"/>
      </w:r>
      <w:r>
        <w:rPr>
          <w:rFonts w:cstheme="minorHAnsi"/>
        </w:rPr>
        <w:t xml:space="preserve"> I</w:t>
      </w:r>
      <w:r w:rsidR="00881837">
        <w:rPr>
          <w:rFonts w:cstheme="minorHAnsi"/>
        </w:rPr>
        <w:t xml:space="preserve">n the case of the wildfires: </w:t>
      </w:r>
      <w:r w:rsidR="005A7F12">
        <w:rPr>
          <w:rFonts w:cstheme="minorHAnsi"/>
        </w:rPr>
        <w:t>a scoped and planned, future-focused</w:t>
      </w:r>
      <w:r w:rsidR="00AB7CF7">
        <w:rPr>
          <w:rFonts w:cstheme="minorHAnsi"/>
        </w:rPr>
        <w:t xml:space="preserve">, </w:t>
      </w:r>
      <w:r w:rsidR="00137BDB">
        <w:rPr>
          <w:rFonts w:cstheme="minorHAnsi"/>
        </w:rPr>
        <w:t>risk</w:t>
      </w:r>
      <w:r w:rsidR="00470F90">
        <w:rPr>
          <w:rFonts w:cstheme="minorHAnsi"/>
        </w:rPr>
        <w:t>-</w:t>
      </w:r>
      <w:r w:rsidR="00137BDB">
        <w:rPr>
          <w:rFonts w:cstheme="minorHAnsi"/>
        </w:rPr>
        <w:t>averse approach to salvage</w:t>
      </w:r>
      <w:r w:rsidR="005A7F12">
        <w:rPr>
          <w:rFonts w:cstheme="minorHAnsi"/>
        </w:rPr>
        <w:t xml:space="preserve"> logging and retention</w:t>
      </w:r>
      <w:r w:rsidR="00137BDB">
        <w:rPr>
          <w:rFonts w:cstheme="minorHAnsi"/>
        </w:rPr>
        <w:t xml:space="preserve"> that minimizes</w:t>
      </w:r>
      <w:r w:rsidR="00C054C0">
        <w:rPr>
          <w:rFonts w:cstheme="minorHAnsi"/>
        </w:rPr>
        <w:t xml:space="preserve"> long-term</w:t>
      </w:r>
      <w:r w:rsidR="00137BDB">
        <w:rPr>
          <w:rFonts w:cstheme="minorHAnsi"/>
        </w:rPr>
        <w:t xml:space="preserve"> regrets. </w:t>
      </w:r>
      <w:r w:rsidR="00AB7CF7">
        <w:rPr>
          <w:rFonts w:cstheme="minorHAnsi"/>
        </w:rPr>
        <w:t>O</w:t>
      </w:r>
      <w:r w:rsidR="00137BDB" w:rsidRPr="001C4256">
        <w:rPr>
          <w:rFonts w:cstheme="minorHAnsi"/>
        </w:rPr>
        <w:t xml:space="preserve">ur main basis for policy </w:t>
      </w:r>
      <w:r w:rsidR="009F1237">
        <w:rPr>
          <w:rFonts w:cstheme="minorHAnsi"/>
        </w:rPr>
        <w:t xml:space="preserve">and practices </w:t>
      </w:r>
      <w:r w:rsidR="00137BDB" w:rsidRPr="001C4256">
        <w:rPr>
          <w:rFonts w:cstheme="minorHAnsi"/>
        </w:rPr>
        <w:t xml:space="preserve">should derive from our inability to predict losses due to </w:t>
      </w:r>
      <w:r>
        <w:rPr>
          <w:rFonts w:cstheme="minorHAnsi"/>
        </w:rPr>
        <w:t>uncertainty</w:t>
      </w:r>
      <w:r w:rsidR="00137BDB">
        <w:rPr>
          <w:rFonts w:cstheme="minorHAnsi"/>
        </w:rPr>
        <w:t>.</w:t>
      </w:r>
      <w:r w:rsidR="00137BDB" w:rsidRPr="001C4256">
        <w:rPr>
          <w:rFonts w:cstheme="minorHAnsi"/>
        </w:rPr>
        <w:fldChar w:fldCharType="begin"/>
      </w:r>
      <w:r w:rsidR="004C2E00">
        <w:rPr>
          <w:rFonts w:cstheme="minorHAnsi"/>
        </w:rPr>
        <w:instrText xml:space="preserve"> ADDIN ZOTERO_ITEM CSL_CITATION {"citationID":"AUcOKhX4","properties":{"formattedCitation":"{\\rtf \\super 71\\nosupersub{}}","plainCitation":"71"},"citationItems":[{"id":905,"uris":["http://zotero.org/users/2487980/items/MSZWYWCR"],"uri":["http://zotero.org/users/2487980/items/MSZWYWCR"],"itemData":{"id":905,"type":"article-journal","title":"Threshold effects and incentives for the conservation of biodiversity","container-title":"Environmental and Resource Economics","page":"13-28","volume":"4","issue":"1","source":"link.springer.com","abstract":"Biological diversity is a central component of the stock of natural capital on which all economic development is based. Other things being equal, loss of biologically diversity implies loss of development potential, and its conservation through sustainable use or outright protection implies the protection of that potential. One characteristics of biodiversity loss of especial importance is that biodiversity loss, more than any other current environmental problem, is associated with ecological threshold effects. The paper explores the implication of this characteristics for the properties of a biodiversity conservation strategy.","DOI":"10.1007/BF00691930","ISSN":"0924-6460, 1573-1502","journalAbbreviation":"Environ Resource Econ","language":"en","author":[{"family":"Perrings","given":"Charles"},{"family":"Pearce","given":"David"}],"issued":{"date-parts":[["1994",2,1]]}}}],"schema":"https://github.com/citation-style-language/schema/raw/master/csl-citation.json"} </w:instrText>
      </w:r>
      <w:r w:rsidR="00137BDB" w:rsidRPr="001C4256">
        <w:rPr>
          <w:rFonts w:cstheme="minorHAnsi"/>
        </w:rPr>
        <w:fldChar w:fldCharType="separate"/>
      </w:r>
      <w:r w:rsidR="004C2E00" w:rsidRPr="004C2E00">
        <w:rPr>
          <w:rFonts w:ascii="Calibri" w:hAnsi="Calibri" w:cs="Calibri"/>
          <w:szCs w:val="24"/>
          <w:vertAlign w:val="superscript"/>
        </w:rPr>
        <w:t>71</w:t>
      </w:r>
      <w:r w:rsidR="00137BDB" w:rsidRPr="001C4256">
        <w:rPr>
          <w:rFonts w:cstheme="minorHAnsi"/>
        </w:rPr>
        <w:fldChar w:fldCharType="end"/>
      </w:r>
      <w:r w:rsidR="00137BDB" w:rsidRPr="00411A10">
        <w:rPr>
          <w:rFonts w:cstheme="minorHAnsi"/>
        </w:rPr>
        <w:t xml:space="preserve"> </w:t>
      </w:r>
      <w:r w:rsidR="00137BDB" w:rsidRPr="00CC79D2">
        <w:rPr>
          <w:rFonts w:cstheme="minorHAnsi"/>
        </w:rPr>
        <w:t xml:space="preserve">This </w:t>
      </w:r>
      <w:r w:rsidR="00881837">
        <w:rPr>
          <w:rFonts w:cstheme="minorHAnsi"/>
        </w:rPr>
        <w:t xml:space="preserve">uncertainty </w:t>
      </w:r>
      <w:r w:rsidR="00137BDB" w:rsidRPr="00CC79D2">
        <w:rPr>
          <w:rFonts w:cstheme="minorHAnsi"/>
        </w:rPr>
        <w:t xml:space="preserve">is the </w:t>
      </w:r>
      <w:r w:rsidR="008709C1">
        <w:rPr>
          <w:rFonts w:cstheme="minorHAnsi"/>
        </w:rPr>
        <w:t xml:space="preserve">harm prevention </w:t>
      </w:r>
      <w:r w:rsidR="00137BDB" w:rsidRPr="00CC79D2">
        <w:rPr>
          <w:rFonts w:cstheme="minorHAnsi"/>
        </w:rPr>
        <w:t xml:space="preserve">lens through which </w:t>
      </w:r>
      <w:r w:rsidR="004B1A0B">
        <w:rPr>
          <w:rFonts w:cstheme="minorHAnsi"/>
        </w:rPr>
        <w:t xml:space="preserve">practitioners should consider </w:t>
      </w:r>
      <w:r w:rsidR="00137BDB" w:rsidRPr="00CC79D2">
        <w:rPr>
          <w:rFonts w:cstheme="minorHAnsi"/>
        </w:rPr>
        <w:t xml:space="preserve">salvage </w:t>
      </w:r>
      <w:r w:rsidR="009F1237">
        <w:rPr>
          <w:rFonts w:cstheme="minorHAnsi"/>
        </w:rPr>
        <w:t>logging</w:t>
      </w:r>
      <w:r w:rsidR="00137BDB" w:rsidRPr="00CC79D2">
        <w:rPr>
          <w:rFonts w:cstheme="minorHAnsi"/>
        </w:rPr>
        <w:t>.</w:t>
      </w:r>
      <w:bookmarkStart w:id="82" w:name="_Toc498345459"/>
      <w:bookmarkStart w:id="83" w:name="_Toc498345847"/>
      <w:bookmarkStart w:id="84" w:name="_Toc498345917"/>
      <w:bookmarkStart w:id="85" w:name="_Toc498952963"/>
    </w:p>
    <w:p w14:paraId="351A4DF4" w14:textId="3E967B3E" w:rsidR="00137BDB" w:rsidRDefault="00137BDB" w:rsidP="00137BDB">
      <w:pPr>
        <w:pStyle w:val="Heading2"/>
      </w:pPr>
      <w:bookmarkStart w:id="86" w:name="_Toc503934759"/>
      <w:r>
        <w:t>Conclusion</w:t>
      </w:r>
      <w:bookmarkEnd w:id="82"/>
      <w:bookmarkEnd w:id="83"/>
      <w:bookmarkEnd w:id="84"/>
      <w:bookmarkEnd w:id="85"/>
      <w:bookmarkEnd w:id="86"/>
    </w:p>
    <w:p w14:paraId="73E61BA7" w14:textId="67E0F492" w:rsidR="00137BDB" w:rsidRDefault="00137BDB" w:rsidP="00137BDB">
      <w:pPr>
        <w:jc w:val="both"/>
      </w:pPr>
      <w:r w:rsidRPr="00EF0B95">
        <w:t>Salvage logging has</w:t>
      </w:r>
      <w:r w:rsidR="00BE4C62" w:rsidRPr="00EF0B95">
        <w:t xml:space="preserve"> consistently</w:t>
      </w:r>
      <w:r w:rsidRPr="00EF0B95">
        <w:t xml:space="preserve"> been shown to have </w:t>
      </w:r>
      <w:r w:rsidR="00113EA4" w:rsidRPr="00EF0B95">
        <w:t>some</w:t>
      </w:r>
      <w:r w:rsidRPr="00EF0B95">
        <w:t xml:space="preserve"> negative effects on ecosystem services</w:t>
      </w:r>
      <w:r w:rsidR="008B5795" w:rsidRPr="00EF0B95">
        <w:t xml:space="preserve"> (Millennium Ecosystem Assessment</w:t>
      </w:r>
      <w:r w:rsidR="008B5795" w:rsidRPr="00EF0B95">
        <w:rPr>
          <w:b/>
          <w:u w:val="single"/>
        </w:rPr>
        <w:fldChar w:fldCharType="begin"/>
      </w:r>
      <w:r w:rsidR="0012005A" w:rsidRPr="00EF0B95">
        <w:rPr>
          <w:b/>
          <w:u w:val="single"/>
        </w:rPr>
        <w:instrText xml:space="preserve"> ADDIN ZOTERO_ITEM CSL_CITATION {"citationID":"CXcHaMOs","properties":{"formattedCitation":"{\\rtf \\super 9\\nosupersub{}}","plainCitation":"9"},"citationItems":[{"id":803,"uris":["http://zotero.org/users/2487980/items/MXMU2MXJ"],"uri":["http://zotero.org/users/2487980/items/MXMU2MXJ"],"itemData":{"id":803,"type":"book","title":"Millennium Ecosystem Assessment, 2005. Ecosystems and Human Well-being: Synthesis.","publisher":"Island Press","publisher-place":"Washington DC","event-place":"Washington DC","URL":"https://www.millenniumassessment.org/documents/document.356.aspx.pdf","author":[{"family":"Reid","given":"Walter"},{"family":"et al.","given":""}],"issued":{"date-parts":[["2005"]]},"accessed":{"date-parts":[["2017",10,15]]}}}],"schema":"https://github.com/citation-style-language/schema/raw/master/csl-citation.json"} </w:instrText>
      </w:r>
      <w:r w:rsidR="008B5795" w:rsidRPr="00EF0B95">
        <w:rPr>
          <w:b/>
          <w:u w:val="single"/>
        </w:rPr>
        <w:fldChar w:fldCharType="separate"/>
      </w:r>
      <w:r w:rsidR="0012005A" w:rsidRPr="00EF0B95">
        <w:rPr>
          <w:rFonts w:ascii="Calibri" w:hAnsi="Calibri" w:cs="Calibri"/>
          <w:szCs w:val="24"/>
          <w:vertAlign w:val="superscript"/>
        </w:rPr>
        <w:t>9</w:t>
      </w:r>
      <w:r w:rsidR="008B5795" w:rsidRPr="00EF0B95">
        <w:rPr>
          <w:b/>
          <w:u w:val="single"/>
        </w:rPr>
        <w:fldChar w:fldCharType="end"/>
      </w:r>
      <w:r w:rsidR="00BE4C62" w:rsidRPr="00EF0B95">
        <w:t>)</w:t>
      </w:r>
      <w:r w:rsidRPr="00EF0B95">
        <w:t xml:space="preserve">, over and above that of </w:t>
      </w:r>
      <w:r w:rsidR="00AD2298" w:rsidRPr="00EF0B95">
        <w:t>wildfires</w:t>
      </w:r>
      <w:r w:rsidRPr="00EF0B95">
        <w:t xml:space="preserve"> themselves; particularly those services related to soil productivity,</w:t>
      </w:r>
      <w:r w:rsidRPr="00EF0B95">
        <w:fldChar w:fldCharType="begin"/>
      </w:r>
      <w:r w:rsidR="004C2E00">
        <w:instrText xml:space="preserve"> ADDIN ZOTERO_ITEM CSL_CITATION {"citationID":"mYCLmD8O","properties":{"formattedCitation":"{\\rtf \\super 8,10\\nosupersub{}}","plainCitation":"8,10"},"citationItems":[{"id":610,"uris":["http://zotero.org/users/2487980/items/3MA9CEJ9"],"uri":["http://zotero.org/users/2487980/items/3MA9CEJ9"],"itemData":{"id":610,"type":"report","title":"Effects of Timber Harvest Following Wildfire in Western North America","genre":"General Technical Rep[ort","URL":"http://www.arlis.org/docs/vol1/A/318000462.pdf","number":"PNW-GTR-776","author":[{"family":"Peterson","given":"David L."},{"family":"Agee","given":"James K."},{"family":"Aplet","given":"Gregory H."},{"family":"Dykstra","given":"Dennis P."},{"family":"Graham","given":"Russell T."},{"family":"Lehmkuhl","given":"John F."},{"family":"Pilliod","given":"David S."}],"issued":{"date-parts":[["2009"]]},"accessed":{"date-parts":[["2017",8,28]]}}},{"id":828,"uris":["http://zotero.org/users/2487980/items/5SNKBFKV"],"uri":["http://zotero.org/users/2487980/items/5SNKBFKV"],"itemData":{"id":828,"type":"article-journal","title":"The Effects of Postfire Salvage Logging on Aquatic Ecosystems in the American West","container-title":"BioScience","page":"1029-1033","volume":"54","issue":"11","source":"academic.oup.com","abstract":"Recent changes in the forest policies, regulations, and laws affecting public lands encourage postfire salvage logging, an activity that all too often delays or prevents recovery. In contrast, the 10 recommendations proposed here can improve the condition of watersheds and aquatic ecosystems.","DOI":"10.1641/0006-3568(2004)054[1029:TEOPSL]2.0.CO;2","ISSN":"0006-3568","journalAbbreviation":"BioScience","author":[{"family":"Karr","given":"James R."},{"family":"Rhodes","given":"Jonathan J."},{"family":"Minshall","given":"G. Wayne"},{"family":"Hauer","given":"F. Richard"},{"family":"Beschta","given":"Robert L."},{"family":"Frissell","given":"Christopher A."},{"family":"Perry","given":"David A."}],"issued":{"date-parts":[["2004",11,1]]}}}],"schema":"https://github.com/citation-style-language/schema/raw/master/csl-citation.json"} </w:instrText>
      </w:r>
      <w:r w:rsidRPr="00EF0B95">
        <w:fldChar w:fldCharType="separate"/>
      </w:r>
      <w:r w:rsidR="004C2E00" w:rsidRPr="004C2E00">
        <w:rPr>
          <w:rFonts w:ascii="Calibri" w:hAnsi="Calibri" w:cs="Calibri"/>
          <w:szCs w:val="24"/>
          <w:vertAlign w:val="superscript"/>
        </w:rPr>
        <w:t>8,10</w:t>
      </w:r>
      <w:r w:rsidRPr="00EF0B95">
        <w:fldChar w:fldCharType="end"/>
      </w:r>
      <w:r w:rsidRPr="00EF0B95">
        <w:t xml:space="preserve"> water quality</w:t>
      </w:r>
      <w:r w:rsidR="0006212C" w:rsidRPr="00EF0B95">
        <w:t>,</w:t>
      </w:r>
      <w:r w:rsidRPr="00EF0B95">
        <w:fldChar w:fldCharType="begin"/>
      </w:r>
      <w:r w:rsidR="0012005A" w:rsidRPr="00EF0B95">
        <w:instrText xml:space="preserve"> ADDIN ZOTERO_ITEM CSL_CITATION {"citationID":"o14R4j1m","properties":{"formattedCitation":"{\\rtf \\super 11\\nosupersub{}}","plainCitation":"11"},"citationItems":[{"id":785,"uris":["http://zotero.org/users/2487980/items/Z9JZQRRB"],"uri":["http://zotero.org/users/2487980/items/Z9JZQRRB"],"itemData":{"id":785,"type":"article-journal","title":"Southern Rockies Watershed Project","container-title":"The Forestry Chronicle","page":"39-42","volume":"92","issue":"01","source":"pubs.cif-ifc.org (Atypon)","abstract":"The Southern Rockies Watershed Project was initiated in 2003 to describe the impacts of severe natural disturbance by wildfire on a broad range of headwaters, larger river basin scale, and downstream water resources (Phase I). This watershed research is unique in that trans-disciplinary linkages between hydrology, biogeochemistry, aquatic ecology, downstream river basin processes, implications for human water use, and economic implications are providing broad insights into wildfire effects on water. A second phase of the research (Phase II) focuses on evaluating the effects of several alternative forest harvesting practices on these same water resource “values”. Collectively, this research is providing comprehensive information on watershed function after forest disturbance in Rocky Mountain watersheds.","DOI":"10.5558/tfc2016-012","ISSN":"0015-7546","journalAbbreviation":"The Forestry Chronicle","author":[{"family":"Silins","given":"Uldis"},{"family":"Anderson","given":"Axel"},{"family":"Bladon","given":"Kevin D."},{"family":"Emelko","given":"Monica B."},{"family":"Stone","given":"Micheal"},{"family":"Spencer","given":"Sheena A."},{"family":"Williams","given":"Chris H.S."},{"family":"Wagner","given":"Michael J."},{"family":"Martens","given":"Amanda M."},{"family":"Hawthorn","given":"Kirk"}],"issued":{"date-parts":[["2016",1,1]]}}}],"schema":"https://github.com/citation-style-language/schema/raw/master/csl-citation.json"} </w:instrText>
      </w:r>
      <w:r w:rsidRPr="00EF0B95">
        <w:fldChar w:fldCharType="separate"/>
      </w:r>
      <w:r w:rsidR="0012005A" w:rsidRPr="00EF0B95">
        <w:rPr>
          <w:rFonts w:ascii="Calibri" w:hAnsi="Calibri" w:cs="Calibri"/>
          <w:szCs w:val="24"/>
          <w:vertAlign w:val="superscript"/>
        </w:rPr>
        <w:t>11</w:t>
      </w:r>
      <w:r w:rsidRPr="00EF0B95">
        <w:fldChar w:fldCharType="end"/>
      </w:r>
      <w:r w:rsidRPr="00EF0B95">
        <w:t xml:space="preserve"> water regulation</w:t>
      </w:r>
      <w:r w:rsidRPr="00EF0B95">
        <w:fldChar w:fldCharType="begin"/>
      </w:r>
      <w:r w:rsidR="0012005A" w:rsidRPr="00EF0B95">
        <w:instrText xml:space="preserve"> ADDIN ZOTERO_ITEM CSL_CITATION {"citationID":"n28G33hL","properties":{"formattedCitation":"{\\rtf \\super 12\\nosupersub{}}","plainCitation":"12"},"citationItems":[{"id":782,"uris":["http://zotero.org/users/2487980/items/FAKIBWJT"],"uri":["http://zotero.org/users/2487980/items/FAKIBWJT"],"itemData":{"id":782,"type":"article-journal","title":"Post-wildfire debris flows in southern British Columbia, Canada","container-title":"International Journal of Wildland Fire","page":"322-336","volume":"25","issue":"3","source":"www.publish.csiro.au","abstract":"Several post-wildfire debris flows and other landslides occurred after the extreme wildfire season of 2003 in the southern interior of British Columbia. Such events had not been previously reported in Canada, although they are common in lower latitudes. Severe wildfire seasons also were experienced in 2007 and 2009, and additional events were observed in four fires. Post-wildfire landslides have occurred in spring, summer and fall (autumn); events have been triggered by spring snowmelt, high-intensity summer rainstorms and low-intensity fall rainstorms. Of a total of 36 documented events, 23 were debris flows, and the most common initiating mechanism was high peak flow in channels. Most sediment in these events was derived from the channels, not from erosion in burned areas. Seven of the events were infiltration-triggered debris slides, and six events were debris floods. A variety of hydrologic changes can contribute to the prevalence of post-wildfire landslides and floods, including an increase in snowmelt rate. High-severity burn in catchment headwaters above steep channels is a topographic factor favouring debris flow occurrence. These observations demonstrate that the likelihood of debris flows and other mass-movement events in susceptible terrain is significantly increased following severe wildfire in this snow-dominated environment.","DOI":"10.1071/WF14070","ISSN":"1448-5516","journalAbbreviation":"Int. J. Wildland Fire","language":"en","author":[{"family":"Jordan","given":"Peter"}],"issued":{"date-parts":[["2016",3,24]]}}}],"schema":"https://github.com/citation-style-language/schema/raw/master/csl-citation.json"} </w:instrText>
      </w:r>
      <w:r w:rsidRPr="00EF0B95">
        <w:fldChar w:fldCharType="separate"/>
      </w:r>
      <w:r w:rsidR="0012005A" w:rsidRPr="00EF0B95">
        <w:rPr>
          <w:rFonts w:ascii="Calibri" w:hAnsi="Calibri" w:cs="Calibri"/>
          <w:szCs w:val="24"/>
          <w:vertAlign w:val="superscript"/>
        </w:rPr>
        <w:t>12</w:t>
      </w:r>
      <w:r w:rsidRPr="00EF0B95">
        <w:fldChar w:fldCharType="end"/>
      </w:r>
      <w:r w:rsidR="00284B08" w:rsidRPr="00EF0B95">
        <w:t xml:space="preserve"> and habitat.</w:t>
      </w:r>
      <w:r w:rsidR="00284B08" w:rsidRPr="00EF0B95">
        <w:fldChar w:fldCharType="begin"/>
      </w:r>
      <w:r w:rsidR="0012005A" w:rsidRPr="00EF0B95">
        <w:instrText xml:space="preserve"> ADDIN ZOTERO_ITEM CSL_CITATION {"citationID":"CgMHQyHH","properties":{"formattedCitation":"{\\rtf \\super 13\\nosupersub{}}","plainCitation":"13"},"citationItems":[{"id":662,"uris":["http://zotero.org/users/2487980/items/E292D336"],"uri":["http://zotero.org/users/2487980/items/E292D336"],"itemData":{"id":662,"type":"article-journal","title":"Impacts of salvage logging on biodiversity: a meta-analysis","container-title":"Journal of Applied Ecology","page":"n/a-n/a","source":"Wiley Online Library","abstract":"*\nLogging to “salvage” economic returns from forests affected by natural disturbances has become increasingly prevalent globally. Despite potential negative effects on biodiversity, salvage logging is often conducted, even in areas otherwise excluded from logging and reserved for nature conservation, inter alia because strategic priorities for post-disturbance management are widely lacking.\n\n\n\n*\nA review of the existing literature revealed that most studies investigating the effects of salvage logging on biodiversity have been conducted less than 5 years following natural disturbances, and focused on non-saproxylic organisms.\n\n\n\n*\nA meta-analysis across 24 species groups revealed that salvage logging significantly decreases numbers of species of eight taxonomic groups. Richness of dead wood dependent taxa (i.e. saproxylic organisms) decreased more strongly than richness of non-saproxylic taxa. In contrast, taxonomic groups typically associated with open habitats increased in the number of species after salvage logging.\n\n\n\n*\nBy analysing 134 original species abundance matrices, we demonstrate that salvage logging significantly alters community composition in 7 of 17 species groups, particularly affecting saproxylic assemblages.\n\n\n\n*\nSynthesis and applications. Our results suggest that salvage logging is not consistent with the management objectives of protected areas. Substantial changes, such as the retention of dead wood in naturally disturbed forests, are needed to support biodiversity. Future research should investigate the amount and spatio-temporal distribution of retained dead wood needed to maintain all components of biodiversity.","DOI":"10.1111/1365-2664.12945","ISSN":"1365-2664","shortTitle":"Impacts of salvage logging on biodiversity","journalAbbreviation":"J Appl Ecol","language":"en","author":[{"family":"Thorn","given":"Simon"},{"family":"Bässler","given":"Claus"},{"family":"Brandl","given":"Roland"},{"family":"Burton","given":"Philip J."},{"family":"Cahall","given":"Rebecca"},{"family":"Campbell","given":"John L."},{"family":"Castro","given":"Jorge"},{"family":"Choi","given":"Chang-Yong"},{"family":"Cobb","given":"Tyler"},{"family":"Donato","given":"Daniel C."},{"family":"Durska","given":"Ewa"},{"family":"Fontaine","given":"Joseph B."},{"family":"Gauthier","given":"Sylvie"},{"family":"Hebert","given":"Christian"},{"family":"Hothorn","given":"Torsten"},{"family":"Hutto","given":"Richard L."},{"family":"Lee","given":"Eun-Jae"},{"family":"Leverkus","given":"Alexandro B."},{"family":"Lindenmayer","given":"David B."},{"family":"Obrist","given":"Martin K."},{"family":"Rost","given":"Josep"},{"family":"Seibold","given":"Sebastian"},{"family":"Seidl","given":"Rupert"},{"family":"Thom","given":"Dominik"},{"family":"Waldron","given":"Kaysandra"},{"family":"Wermelinger","given":"Beat"},{"family":"Winter","given":"Maria-Barbara"},{"family":"Zmihorski","given":"Michal"},{"family":"Müller","given":"Jörg"}],"issued":{"date-parts":[["2017"]]}}}],"schema":"https://github.com/citation-style-language/schema/raw/master/csl-citation.json"} </w:instrText>
      </w:r>
      <w:r w:rsidR="00284B08" w:rsidRPr="00EF0B95">
        <w:fldChar w:fldCharType="separate"/>
      </w:r>
      <w:r w:rsidR="0012005A" w:rsidRPr="00EF0B95">
        <w:rPr>
          <w:rFonts w:ascii="Calibri" w:hAnsi="Calibri" w:cs="Calibri"/>
          <w:szCs w:val="24"/>
          <w:vertAlign w:val="superscript"/>
        </w:rPr>
        <w:t>13</w:t>
      </w:r>
      <w:r w:rsidR="00284B08" w:rsidRPr="00EF0B95">
        <w:fldChar w:fldCharType="end"/>
      </w:r>
    </w:p>
    <w:p w14:paraId="5DBFD9FD" w14:textId="5B7FA2A6" w:rsidR="00137BDB" w:rsidRDefault="00137BDB" w:rsidP="00137BDB">
      <w:pPr>
        <w:jc w:val="both"/>
      </w:pPr>
      <w:r>
        <w:t xml:space="preserve">As the MPB epidemic did previously, the 2017 wildfires </w:t>
      </w:r>
      <w:r w:rsidR="00A11FC5">
        <w:t xml:space="preserve">suggest a reconsideration of </w:t>
      </w:r>
      <w:r>
        <w:t>the extent and severity of disturbance that is possible under climate change. Similarly, the time and pathways to recovery in these landscapes may not conform to existing knowledge and assumptions.</w:t>
      </w:r>
      <w:r>
        <w:fldChar w:fldCharType="begin"/>
      </w:r>
      <w:r w:rsidR="004C2E00">
        <w:instrText xml:space="preserve"> ADDIN ZOTERO_ITEM CSL_CITATION {"citationID":"mFnG1MLY","properties":{"formattedCitation":"{\\rtf \\super 30,72\\nosupersub{}}","plainCitation":"30,72"},"citationItems":[{"id":902,"uris":["http://zotero.org/users/2487980/items/M2QHSYWC"],"uri":["http://zotero.org/users/2487980/items/M2QHSYWC"],"itemData":{"id":902,"type":"article-journal","title":"What is close-to-nature silviculture in a changing world?","container-title":"Forestry: An International Journal of Forest Research","page":"1-6","volume":"89","issue":"1","source":"academic.oup.com","abstract":"Silviculture is a means to meet objectives ranging from timber production to wildlife habitat to naturalness. A common global trend in forestry is development of new silvicultural approaches as alternatives to plantation forestry that bear names that include the words ‘nature’, ‘ecological’ or some other positive expression regarding their intent or effects. Some approaches are attempting to emulate natural processes and others to minimize disturbance effects in an attempt to be more natural. In any case, the effects of climate changes, non-native plants, insects, pathogens and animals, and other anthropogenic effects are creating novel forest ecosystems where the silviculture of the past may not be appropriate. It should be recognized that forestry has always attempted to manage stands to meet objectives in ways that would not be similarly met without management. Rather than acquiescing to pressures to follow a nature-based model based on the past, we need to recognize that our forest ecosystems are changing and the rate of change may accelerate in the future. Natural processes and stand structures are important information about natural systems, but not necessarily for the management of these changing systems. Management of these novel ecosystems to meet societal needs will have to be novel. Rather than striving to be close to a nature that is under constant change, silviculture should strive to be better than nature. ‘Close-to-nature’ is flawed in both its intent to emulate nature and as a means to meet shifting ecological conditions and societal needs.","DOI":"10.1093/forestry/cpv043","ISSN":"0015-752X","journalAbbreviation":"Forestry (Lond)","author":[{"family":"O'Hara","given":"Kevin L."}],"issued":{"date-parts":[["2016",1,1]]}}},{"id":899,"uris":["http://zotero.org/users/2487980/items/YKKSHFCY"],"uri":["http://zotero.org/users/2487980/items/YKKSHFCY"],"itemData":{"id":899,"type":"article-journal","title":"Dealing with Non-linearity and Uncertainty in Forest Management","container-title":"Current Forestry Reports","page":"150-161","volume":"2","issue":"2","source":"link.springer.com","abstract":"Forest managers today are struggling with the great uncertainties and rapid changes in many biophysical and socioeconomic aspects of their work. We argue in this review that viewing forests and forest management as complex adaptive systems and acknowledging non-linearity and uncertainty in forest dynamics and management provide an alternative for both production- and conservation-oriented forests to the traditional command and control approaches that have been advocated so far in forestry. We first discuss the concepts of non-linearity and uncertainty in forest dynamics and management. We then propose a set of broad principles and approaches that are required for forest managers to better incorporate these new concepts into practices. These span from (1) relaxing and expanding the sustained-yield and single-good paradigm, (2) moving the target for assessing success in silviculture from predetermined strict outcomes for each and every stand to an envelope of possible outcomes that are acceptable for one or multiple stands, and (3) using approaches and modeling tools to assess as large a range of possible outcomes as possible instead of the traditional mainly deterministic and static modeling tools.","DOI":"10.1007/s40725-016-0036-x","ISSN":"2198-6436","journalAbbreviation":"Curr Forestry Rep","language":"en","author":[{"family":"Messier","given":"Christian"},{"family":"Puettmann","given":"Klaus"},{"family":"Filotas","given":"Elise"},{"family":"Coates","given":"Dave"}],"issued":{"date-parts":[["2016",6,1]]}}}],"schema":"https://github.com/citation-style-language/schema/raw/master/csl-citation.json"} </w:instrText>
      </w:r>
      <w:r>
        <w:fldChar w:fldCharType="separate"/>
      </w:r>
      <w:r w:rsidR="004C2E00" w:rsidRPr="004C2E00">
        <w:rPr>
          <w:rFonts w:ascii="Calibri" w:hAnsi="Calibri" w:cs="Calibri"/>
          <w:szCs w:val="24"/>
          <w:vertAlign w:val="superscript"/>
        </w:rPr>
        <w:t>30,72</w:t>
      </w:r>
      <w:r>
        <w:fldChar w:fldCharType="end"/>
      </w:r>
      <w:r>
        <w:t xml:space="preserve"> It is difficult to assess and quantify the effects </w:t>
      </w:r>
      <w:r w:rsidR="00693CAC">
        <w:t xml:space="preserve">on recovery </w:t>
      </w:r>
      <w:r>
        <w:t xml:space="preserve">of </w:t>
      </w:r>
      <w:r w:rsidR="00CE6152">
        <w:t xml:space="preserve">ongoing climate change and the </w:t>
      </w:r>
      <w:r>
        <w:t xml:space="preserve">multiple, </w:t>
      </w:r>
      <w:r w:rsidR="00CE6152">
        <w:t>extensive</w:t>
      </w:r>
      <w:r>
        <w:t xml:space="preserve">, interacting </w:t>
      </w:r>
      <w:r w:rsidR="00CE6152">
        <w:t xml:space="preserve">disturbances that have already occurred in </w:t>
      </w:r>
      <w:r>
        <w:t xml:space="preserve">these landscapes. However, much of the forest </w:t>
      </w:r>
      <w:r>
        <w:lastRenderedPageBreak/>
        <w:t xml:space="preserve">that burned in 2017 </w:t>
      </w:r>
      <w:r w:rsidR="00BF1CEA">
        <w:t xml:space="preserve">was </w:t>
      </w:r>
      <w:r w:rsidR="002F6866">
        <w:t>re</w:t>
      </w:r>
      <w:r w:rsidR="00BF1CEA">
        <w:t>tained</w:t>
      </w:r>
      <w:r w:rsidR="006D7425">
        <w:t xml:space="preserve"> on the landscape</w:t>
      </w:r>
      <w:r>
        <w:t xml:space="preserve"> to serve as a source of stand and landscape recovery</w:t>
      </w:r>
      <w:r w:rsidR="002F6866">
        <w:t>,</w:t>
      </w:r>
      <w:r>
        <w:t xml:space="preserve"> following</w:t>
      </w:r>
      <w:r w:rsidR="006D7425">
        <w:t xml:space="preserve"> the previous</w:t>
      </w:r>
      <w:r>
        <w:t xml:space="preserve"> MPB disturbance and salvage harvesting. In the landscape context, the wildfires have increased </w:t>
      </w:r>
      <w:r w:rsidR="00BF1CEA">
        <w:t xml:space="preserve">the </w:t>
      </w:r>
      <w:r>
        <w:t>emphasis</w:t>
      </w:r>
      <w:r w:rsidR="00BF1CEA">
        <w:t xml:space="preserve"> placed on</w:t>
      </w:r>
      <w:r>
        <w:t xml:space="preserve"> the recovery </w:t>
      </w:r>
      <w:r w:rsidR="006D7425">
        <w:t xml:space="preserve">capacity </w:t>
      </w:r>
      <w:r>
        <w:t>within the remaining, unburn</w:t>
      </w:r>
      <w:r w:rsidR="00FD5BDB">
        <w:t>t</w:t>
      </w:r>
      <w:r>
        <w:t xml:space="preserve"> and low to moderately burn</w:t>
      </w:r>
      <w:r w:rsidR="00FD5BDB">
        <w:t>t</w:t>
      </w:r>
      <w:r>
        <w:t xml:space="preserve"> forests. The possibility that natural disturbance thresholds have been breached, and the possible</w:t>
      </w:r>
      <w:r w:rsidR="00500F62">
        <w:t xml:space="preserve">, undesirable </w:t>
      </w:r>
      <w:r>
        <w:t xml:space="preserve">outcomes of this scenario (i.e., </w:t>
      </w:r>
      <w:r w:rsidR="001B53C4">
        <w:t xml:space="preserve">delayed recovery, </w:t>
      </w:r>
      <w:r>
        <w:t>loss of ecological resilience</w:t>
      </w:r>
      <w:r w:rsidR="00500F62">
        <w:t>, breaching of species</w:t>
      </w:r>
      <w:r w:rsidR="002F6866">
        <w:t>’</w:t>
      </w:r>
      <w:r w:rsidR="00500F62">
        <w:t xml:space="preserve"> minimum habitat requirements</w:t>
      </w:r>
      <w:r>
        <w:t xml:space="preserve">), should </w:t>
      </w:r>
      <w:r w:rsidR="00500F62">
        <w:t xml:space="preserve">be considered in </w:t>
      </w:r>
      <w:r w:rsidR="001B53C4">
        <w:t xml:space="preserve">designing </w:t>
      </w:r>
      <w:r>
        <w:t xml:space="preserve">retention strategies. </w:t>
      </w:r>
    </w:p>
    <w:p w14:paraId="486AF417" w14:textId="420FC60A" w:rsidR="0026215C" w:rsidRDefault="00137BDB" w:rsidP="00137BDB">
      <w:pPr>
        <w:jc w:val="both"/>
      </w:pPr>
      <w:r>
        <w:t>In general, even in the absence of multiple disturbances in quick succession, the advice in the scientific literature points to the long-term cost-effectiveness of supporting natural processes of recovery and using intervention to mitigate further impacts.</w:t>
      </w:r>
      <w:r>
        <w:fldChar w:fldCharType="begin"/>
      </w:r>
      <w:r w:rsidR="0012005A">
        <w:instrText xml:space="preserve"> ADDIN ZOTERO_ITEM CSL_CITATION {"citationID":"3Talr1ia","properties":{"formattedCitation":"{\\rtf \\super 10\\nosupersub{}}","plainCitation":"10"},"citationItems":[{"id":828,"uris":["http://zotero.org/users/2487980/items/5SNKBFKV"],"uri":["http://zotero.org/users/2487980/items/5SNKBFKV"],"itemData":{"id":828,"type":"article-journal","title":"The Effects of Postfire Salvage Logging on Aquatic Ecosystems in the American West","container-title":"BioScience","page":"1029-1033","volume":"54","issue":"11","source":"academic.oup.com","abstract":"Recent changes in the forest policies, regulations, and laws affecting public lands encourage postfire salvage logging, an activity that all too often delays or prevents recovery. In contrast, the 10 recommendations proposed here can improve the condition of watersheds and aquatic ecosystems.","DOI":"10.1641/0006-3568(2004)054[1029:TEOPSL]2.0.CO;2","ISSN":"0006-3568","journalAbbreviation":"BioScience","author":[{"family":"Karr","given":"James R."},{"family":"Rhodes","given":"Jonathan J."},{"family":"Minshall","given":"G. Wayne"},{"family":"Hauer","given":"F. Richard"},{"family":"Beschta","given":"Robert L."},{"family":"Frissell","given":"Christopher A."},{"family":"Perry","given":"David A."}],"issued":{"date-parts":[["2004",11,1]]}}}],"schema":"https://github.com/citation-style-language/schema/raw/master/csl-citation.json"} </w:instrText>
      </w:r>
      <w:r>
        <w:fldChar w:fldCharType="separate"/>
      </w:r>
      <w:r w:rsidR="0012005A" w:rsidRPr="007610F7">
        <w:rPr>
          <w:rFonts w:ascii="Calibri" w:hAnsi="Calibri" w:cs="Calibri"/>
          <w:szCs w:val="24"/>
          <w:vertAlign w:val="superscript"/>
        </w:rPr>
        <w:t>10</w:t>
      </w:r>
      <w:r>
        <w:fldChar w:fldCharType="end"/>
      </w:r>
      <w:r>
        <w:t xml:space="preserve"> Leaders in the field of natural disturbance ecology have recently suggested that there are benefits from natural disturbances, like wildfires, that can be retained with proper management based on the notion of ‘quarantining’ (not managing) areas that </w:t>
      </w:r>
      <w:r w:rsidR="00470F90">
        <w:t xml:space="preserve">become </w:t>
      </w:r>
      <w:r>
        <w:t xml:space="preserve">refugia </w:t>
      </w:r>
      <w:r w:rsidR="00470F90">
        <w:t xml:space="preserve">(i.e., undisturbed by further management through salvage logging) </w:t>
      </w:r>
      <w:r>
        <w:t>for ecosystem processes and elements, and by developing prescriptions for areas that will be managed (salvage logged), regulating the number and type of biological legacies to retain.</w:t>
      </w:r>
      <w:r>
        <w:fldChar w:fldCharType="begin"/>
      </w:r>
      <w:r w:rsidR="004C2E00">
        <w:instrText xml:space="preserve"> ADDIN ZOTERO_ITEM CSL_CITATION {"citationID":"TIT7uy31","properties":{"formattedCitation":"{\\rtf \\super 73\\nosupersub{}}","plainCitation":"73"},"citationItems":[{"id":670,"uris":["http://zotero.org/users/2487980/items/MFPJ3HCZ"],"uri":["http://zotero.org/users/2487980/items/MFPJ3HCZ"],"itemData":{"id":670,"type":"article-journal","title":"Please do not disturb ecosystems further","container-title":"Nature Ecology &amp; Evolution","page":"s41559-016-0031-016","volume":"1","issue":"2","source":"www.nature.com","DOI":"10.1038/s41559-016-0031","ISSN":"2397-334X","language":"en","author":[{"family":"Lindenmayer","given":"David"},{"family":"Thorn","given":"Simon"},{"family":"Banks","given":"Sam"}],"issued":{"date-parts":[["2017",1,24]]}}}],"schema":"https://github.com/citation-style-language/schema/raw/master/csl-citation.json"} </w:instrText>
      </w:r>
      <w:r>
        <w:fldChar w:fldCharType="separate"/>
      </w:r>
      <w:r w:rsidR="004C2E00" w:rsidRPr="004C2E00">
        <w:rPr>
          <w:rFonts w:ascii="Calibri" w:hAnsi="Calibri" w:cs="Calibri"/>
          <w:szCs w:val="24"/>
          <w:vertAlign w:val="superscript"/>
        </w:rPr>
        <w:t>73</w:t>
      </w:r>
      <w:r>
        <w:fldChar w:fldCharType="end"/>
      </w:r>
      <w:r>
        <w:t xml:space="preserve"> </w:t>
      </w:r>
    </w:p>
    <w:p w14:paraId="241AB6B9" w14:textId="4A22E375" w:rsidR="00137BDB" w:rsidRDefault="00137BDB" w:rsidP="00137BDB">
      <w:pPr>
        <w:jc w:val="both"/>
      </w:pPr>
      <w:r>
        <w:t xml:space="preserve">This perspective suggests that there are opportunities to address the ecological and social values that are at risk in the absence of salvage (i.e., potential habitat degradation and losses to climate change; potential mid-term timber losses to further DFB activity, recovery of partially damaged stands to merchantable volume). </w:t>
      </w:r>
      <w:r w:rsidR="00574494">
        <w:t xml:space="preserve">However, the current conditions and the magnitude of disturbance in these landscapes suggests that retention planning should place the consideration of the long-term provision </w:t>
      </w:r>
      <w:r w:rsidR="00574494" w:rsidRPr="00614707">
        <w:t>of ecosystem v</w:t>
      </w:r>
      <w:r w:rsidR="00574494" w:rsidRPr="00E62BE2">
        <w:t>alues</w:t>
      </w:r>
      <w:r w:rsidR="00574494">
        <w:t xml:space="preserve"> over the short-term economic gain obtained from salvaging the burnt timber.</w:t>
      </w:r>
    </w:p>
    <w:p w14:paraId="5D0AA24A" w14:textId="77777777" w:rsidR="0026215C" w:rsidRDefault="00137BDB" w:rsidP="001C4256">
      <w:pPr>
        <w:jc w:val="both"/>
        <w:rPr>
          <w:rFonts w:eastAsia="Times New Roman"/>
          <w:color w:val="000000"/>
        </w:rPr>
      </w:pPr>
      <w:r>
        <w:t>Thus, planners can develop a framework in the context of best management practices for salvage logging, to set management objectives and execute these through strategic, tactical and operational plans. In this case, the primary objective of salvage is to</w:t>
      </w:r>
      <w:r w:rsidR="00A455C5">
        <w:t xml:space="preserve"> </w:t>
      </w:r>
      <w:r>
        <w:rPr>
          <w:rFonts w:eastAsia="Times New Roman"/>
        </w:rPr>
        <w:t>"</w:t>
      </w:r>
      <w:r w:rsidRPr="001C4256">
        <w:rPr>
          <w:rFonts w:eastAsia="Times New Roman"/>
          <w:i/>
        </w:rPr>
        <w:t>specify...management pathways for attaining desired combinations of species, forest st</w:t>
      </w:r>
      <w:r>
        <w:rPr>
          <w:rFonts w:eastAsia="Times New Roman"/>
          <w:i/>
        </w:rPr>
        <w:t>ructure and ecological function</w:t>
      </w:r>
      <w:r w:rsidRPr="001C4256">
        <w:rPr>
          <w:rFonts w:eastAsia="Times New Roman"/>
          <w:i/>
        </w:rPr>
        <w:t>...</w:t>
      </w:r>
      <w:r>
        <w:rPr>
          <w:rFonts w:eastAsia="Times New Roman"/>
        </w:rPr>
        <w:t>"</w:t>
      </w:r>
      <w:r>
        <w:rPr>
          <w:rFonts w:eastAsia="Times New Roman"/>
        </w:rPr>
        <w:fldChar w:fldCharType="begin"/>
      </w:r>
      <w:r w:rsidR="00787C48">
        <w:rPr>
          <w:rFonts w:eastAsia="Times New Roman"/>
        </w:rPr>
        <w:instrText xml:space="preserve"> ADDIN ZOTERO_ITEM CSL_CITATION {"citationID":"Ecm8NTmp","properties":{"formattedCitation":"{\\rtf \\super 53\\nosupersub{}}","plainCitation":"53"},"citationItems":[{"id":668,"uris":["http://zotero.org/users/2487980/items/VRC3ZEU9"],"uri":["http://zotero.org/users/2487980/items/VRC3ZEU9"],"itemData":{"id":668,"type":"article-journal","title":"Post-fire logging produces minimal persistent impacts on understory vegetation in northeastern Oregon, USA","container-title":"Forest Ecology and Management","page":"56-64","volume":"370","source":"ScienceDirect","abstract":"Post-fire forest management commonly requires accepting some negative ecological impacts from management activities in order to achieve management objectives. Managers need to know, however, whether ecological impacts from post-fire management activities are transient or cause long-term ecosystem degradation. We studied the long-term response of understory vegetation to two post-fire logging treatments – commercial salvage logging with and without additional fuel reduction logging – on a long-term post-fire logging experiment in northeastern Oregon, USA. We sampled understory plant cover and species diversity on 10–11 sampling plots within each of nine experimental treatment units to see if post-fire logging treatments produced any lasting effects on understory plant cover, species diversity, community composition, or exotic species cover. Post-fire logging treatments produced no significant effects on understory vegetation cover, diversity, or community composition 15 years after treatment. We found no significant treatment effects on graminoid, forb, woody plant, or exotic plant cover and species richness, and differences among treatment means were generally small. Differences in treatment means were larger at the individual species level, but were only statistically significant for one native grass, California brome (Bromus carinatus), which responded differently to the two logging treatments. Multivariate analysis of understory plant communities across 91 sample plots found two major gradients in understory plant community composition, one correlated with regenerating forest (sapling) density and one correlated with residual overstory tree density, suggesting that initial fire severity (tree mortality) and post-fire regeneration may have greater long-term impacts on post-fire understory vegetation than post-fire logging. This study demonstrates that understory vegetation can be resilient to post-fire logging, particularly when best management practices, like logging over snow, are used to limit damage to soils and understory vegetation. Further research is needed to establish the generality of our results and to identify sources of variability in understory plant community responses to wildfire and post-fire logging. If further research confirms our findings, post-fire logging debates will be able to focus more on how to mitigate short-term disturbance impacts and manage fire-killed trees to meet wildlife habitat, fuel reduction, and economic objectives, and less on concerns over long-term ecosystem degradation.","DOI":"10.1016/j.foreco.2016.04.004","ISSN":"0378-1127","journalAbbreviation":"Forest Ecology and Management","author":[{"family":"Peterson","given":"David W."},{"family":"Dodson","given":"Erich Kyle"}],"issued":{"date-parts":[["2016",6,15]]}}}],"schema":"https://github.com/citation-style-language/schema/raw/master/csl-citation.json"} </w:instrText>
      </w:r>
      <w:r>
        <w:rPr>
          <w:rFonts w:eastAsia="Times New Roman"/>
        </w:rPr>
        <w:fldChar w:fldCharType="separate"/>
      </w:r>
      <w:r w:rsidR="00787C48" w:rsidRPr="00787C48">
        <w:rPr>
          <w:rFonts w:ascii="Calibri" w:hAnsi="Calibri" w:cs="Calibri"/>
          <w:szCs w:val="24"/>
          <w:vertAlign w:val="superscript"/>
        </w:rPr>
        <w:t>53</w:t>
      </w:r>
      <w:r>
        <w:rPr>
          <w:rFonts w:eastAsia="Times New Roman"/>
        </w:rPr>
        <w:fldChar w:fldCharType="end"/>
      </w:r>
      <w:r>
        <w:rPr>
          <w:rFonts w:eastAsia="Times New Roman"/>
        </w:rPr>
        <w:t xml:space="preserve"> </w:t>
      </w:r>
      <w:r w:rsidR="00CD18A0" w:rsidRPr="00843EDB">
        <w:rPr>
          <w:rFonts w:eastAsia="Times New Roman"/>
          <w:color w:val="000000"/>
        </w:rPr>
        <w:t>This will often include leaving biological legacies in stands and landscapes through partial cutting and/or retention of snags and live trees in short-</w:t>
      </w:r>
      <w:r w:rsidR="00CD18A0">
        <w:rPr>
          <w:rFonts w:eastAsia="Times New Roman"/>
          <w:color w:val="000000"/>
        </w:rPr>
        <w:t>term</w:t>
      </w:r>
      <w:r w:rsidR="00CD18A0" w:rsidRPr="00843EDB">
        <w:rPr>
          <w:rFonts w:eastAsia="Times New Roman"/>
          <w:color w:val="000000"/>
        </w:rPr>
        <w:t xml:space="preserve"> or long-term reserves.</w:t>
      </w:r>
      <w:r w:rsidR="00CD18A0">
        <w:rPr>
          <w:rFonts w:eastAsia="Times New Roman"/>
          <w:color w:val="000000"/>
        </w:rPr>
        <w:t xml:space="preserve"> </w:t>
      </w:r>
    </w:p>
    <w:p w14:paraId="06B3441A" w14:textId="74D5D55E" w:rsidR="0006212C" w:rsidRDefault="00137BDB" w:rsidP="001C4256">
      <w:pPr>
        <w:jc w:val="both"/>
        <w:rPr>
          <w:rFonts w:eastAsia="Times New Roman"/>
          <w:color w:val="000000"/>
        </w:rPr>
      </w:pPr>
      <w:r>
        <w:rPr>
          <w:rFonts w:eastAsia="Times New Roman"/>
          <w:color w:val="000000"/>
        </w:rPr>
        <w:t xml:space="preserve">Ongoing climate change points to the need for salvage </w:t>
      </w:r>
      <w:r w:rsidR="00CD18A0">
        <w:rPr>
          <w:rFonts w:eastAsia="Times New Roman"/>
          <w:color w:val="000000"/>
        </w:rPr>
        <w:t xml:space="preserve">logging plans </w:t>
      </w:r>
      <w:r>
        <w:rPr>
          <w:rFonts w:eastAsia="Times New Roman"/>
          <w:color w:val="000000"/>
        </w:rPr>
        <w:t xml:space="preserve">to </w:t>
      </w:r>
      <w:r w:rsidR="0026215C">
        <w:rPr>
          <w:rFonts w:eastAsia="Times New Roman"/>
          <w:color w:val="000000"/>
        </w:rPr>
        <w:t xml:space="preserve">also </w:t>
      </w:r>
      <w:r w:rsidR="00CD18A0">
        <w:rPr>
          <w:rFonts w:eastAsia="Times New Roman"/>
          <w:color w:val="000000"/>
        </w:rPr>
        <w:t>consider</w:t>
      </w:r>
      <w:r>
        <w:rPr>
          <w:rFonts w:eastAsia="Times New Roman"/>
        </w:rPr>
        <w:t xml:space="preserve"> </w:t>
      </w:r>
      <w:r w:rsidR="00CD18A0">
        <w:rPr>
          <w:rFonts w:eastAsia="Times New Roman"/>
        </w:rPr>
        <w:t xml:space="preserve">tactical </w:t>
      </w:r>
      <w:r>
        <w:rPr>
          <w:rFonts w:eastAsia="Times New Roman"/>
        </w:rPr>
        <w:t>management strateg</w:t>
      </w:r>
      <w:r w:rsidR="00CD18A0">
        <w:rPr>
          <w:rFonts w:eastAsia="Times New Roman"/>
        </w:rPr>
        <w:t>ies</w:t>
      </w:r>
      <w:r>
        <w:rPr>
          <w:rFonts w:eastAsia="Times New Roman"/>
        </w:rPr>
        <w:t xml:space="preserve"> for climate adaptation – i.e., identify those areas currently most vulnerable to climate change, and their likely pathways of recovery, including possible shifts to grassland or to forests with altered species composition.</w:t>
      </w:r>
      <w:r w:rsidR="00A455C5">
        <w:rPr>
          <w:rFonts w:eastAsia="Times New Roman"/>
        </w:rPr>
        <w:t xml:space="preserve"> </w:t>
      </w:r>
      <w:r>
        <w:rPr>
          <w:rFonts w:eastAsia="Times New Roman"/>
        </w:rPr>
        <w:t xml:space="preserve">Likewise, the ongoing DFB and other forest health issues suggest that </w:t>
      </w:r>
      <w:r>
        <w:rPr>
          <w:rFonts w:eastAsia="Times New Roman"/>
          <w:color w:val="000000"/>
        </w:rPr>
        <w:t xml:space="preserve">planners can take a </w:t>
      </w:r>
      <w:r w:rsidR="00CD18A0">
        <w:rPr>
          <w:rFonts w:eastAsia="Times New Roman"/>
          <w:color w:val="000000"/>
        </w:rPr>
        <w:t>calculated</w:t>
      </w:r>
      <w:r>
        <w:rPr>
          <w:rFonts w:eastAsia="Times New Roman"/>
          <w:color w:val="000000"/>
        </w:rPr>
        <w:t xml:space="preserve"> approach in the rehabilitation strategy, to target salvage in areas that will benefit most from </w:t>
      </w:r>
      <w:r w:rsidR="00CD18A0">
        <w:rPr>
          <w:rFonts w:eastAsia="Times New Roman"/>
          <w:color w:val="000000"/>
        </w:rPr>
        <w:t xml:space="preserve">minimizing the impacts of </w:t>
      </w:r>
      <w:r>
        <w:rPr>
          <w:rFonts w:eastAsia="Times New Roman"/>
          <w:color w:val="000000"/>
        </w:rPr>
        <w:t>further disturbance.</w:t>
      </w:r>
      <w:r w:rsidR="00843EDB">
        <w:rPr>
          <w:rFonts w:eastAsia="Times New Roman"/>
          <w:color w:val="000000"/>
        </w:rPr>
        <w:t xml:space="preserve"> </w:t>
      </w:r>
    </w:p>
    <w:p w14:paraId="5F3653D4" w14:textId="26483B64" w:rsidR="00137BDB" w:rsidRPr="009944F5" w:rsidRDefault="00137BDB" w:rsidP="001C4256">
      <w:pPr>
        <w:jc w:val="both"/>
      </w:pPr>
      <w:r>
        <w:t>Where</w:t>
      </w:r>
      <w:r w:rsidR="006C1741">
        <w:t xml:space="preserve"> </w:t>
      </w:r>
      <w:r>
        <w:t xml:space="preserve">ecosystem degradation from salvage logging </w:t>
      </w:r>
      <w:r w:rsidR="002B10D8">
        <w:t xml:space="preserve">is </w:t>
      </w:r>
      <w:r>
        <w:t xml:space="preserve">not a concern, a focus on </w:t>
      </w:r>
      <w:r w:rsidRPr="005B4109">
        <w:t>mitigat</w:t>
      </w:r>
      <w:r>
        <w:t>ing</w:t>
      </w:r>
      <w:r w:rsidRPr="005B4109">
        <w:t xml:space="preserve"> short-term disturbance impacts</w:t>
      </w:r>
      <w:r>
        <w:t xml:space="preserve"> with best management practices</w:t>
      </w:r>
      <w:r w:rsidR="00284B08">
        <w:t xml:space="preserve"> for salvage, is justified. Best management practices for salvage are those that lead to</w:t>
      </w:r>
      <w:r>
        <w:t xml:space="preserve"> deliberate strategies to create </w:t>
      </w:r>
      <w:r w:rsidR="00284B08">
        <w:t xml:space="preserve">the </w:t>
      </w:r>
      <w:r>
        <w:t>desired future condition</w:t>
      </w:r>
      <w:r w:rsidR="00356F2D">
        <w:t>;</w:t>
      </w:r>
      <w:r>
        <w:t xml:space="preserve"> </w:t>
      </w:r>
      <w:r w:rsidRPr="005B4109">
        <w:t>manag</w:t>
      </w:r>
      <w:r>
        <w:t>ing</w:t>
      </w:r>
      <w:r w:rsidRPr="005B4109">
        <w:t xml:space="preserve"> </w:t>
      </w:r>
      <w:r w:rsidR="00AD2298">
        <w:t>wildfire</w:t>
      </w:r>
      <w:r w:rsidRPr="005B4109">
        <w:t>-</w:t>
      </w:r>
      <w:r w:rsidR="00356F2D">
        <w:t xml:space="preserve">affected stands and landscapes </w:t>
      </w:r>
      <w:r w:rsidRPr="005B4109">
        <w:t xml:space="preserve">to meet </w:t>
      </w:r>
      <w:r w:rsidR="00284B08">
        <w:t xml:space="preserve">objectives for </w:t>
      </w:r>
      <w:r w:rsidRPr="005B4109">
        <w:t xml:space="preserve">wildlife habitat, </w:t>
      </w:r>
      <w:r w:rsidR="00284B08">
        <w:t xml:space="preserve">climate change, </w:t>
      </w:r>
      <w:r w:rsidRPr="005B4109">
        <w:t xml:space="preserve">fuel reduction, </w:t>
      </w:r>
      <w:r w:rsidR="00284B08">
        <w:t xml:space="preserve">recovery </w:t>
      </w:r>
      <w:r w:rsidRPr="005B4109">
        <w:t xml:space="preserve">and </w:t>
      </w:r>
      <w:r w:rsidR="00284B08">
        <w:t>social and economic</w:t>
      </w:r>
      <w:r w:rsidR="00CD11FA">
        <w:t xml:space="preserve"> values</w:t>
      </w:r>
      <w:r>
        <w:t>.</w:t>
      </w:r>
      <w:r>
        <w:fldChar w:fldCharType="begin"/>
      </w:r>
      <w:r w:rsidR="00787C48">
        <w:instrText xml:space="preserve"> ADDIN ZOTERO_ITEM CSL_CITATION {"citationID":"a1c2edk1jv0","properties":{"formattedCitation":"{\\rtf \\super 53\\nosupersub{}}","plainCitation":"53"},"citationItems":[{"id":668,"uris":["http://zotero.org/users/2487980/items/VRC3ZEU9"],"uri":["http://zotero.org/users/2487980/items/VRC3ZEU9"],"itemData":{"id":668,"type":"article-journal","title":"Post-fire logging produces minimal persistent impacts on understory vegetation in northeastern Oregon, USA","container-title":"Forest Ecology and Management","page":"56-64","volume":"370","source":"ScienceDirect","abstract":"Post-fire forest management commonly requires accepting some negative ecological impacts from management activities in order to achieve management objectives. Managers need to know, however, whether ecological impacts from post-fire management activities are transient or cause long-term ecosystem degradation. We studied the long-term response of understory vegetation to two post-fire logging treatments – commercial salvage logging with and without additional fuel reduction logging – on a long-term post-fire logging experiment in northeastern Oregon, USA. We sampled understory plant cover and species diversity on 10–11 sampling plots within each of nine experimental treatment units to see if post-fire logging treatments produced any lasting effects on understory plant cover, species diversity, community composition, or exotic species cover. Post-fire logging treatments produced no significant effects on understory vegetation cover, diversity, or community composition 15 years after treatment. We found no significant treatment effects on graminoid, forb, woody plant, or exotic plant cover and species richness, and differences among treatment means were generally small. Differences in treatment means were larger at the individual species level, but were only statistically significant for one native grass, California brome (Bromus carinatus), which responded differently to the two logging treatments. Multivariate analysis of understory plant communities across 91 sample plots found two major gradients in understory plant community composition, one correlated with regenerating forest (sapling) density and one correlated with residual overstory tree density, suggesting that initial fire severity (tree mortality) and post-fire regeneration may have greater long-term impacts on post-fire understory vegetation than post-fire logging. This study demonstrates that understory vegetation can be resilient to post-fire logging, particularly when best management practices, like logging over snow, are used to limit damage to soils and understory vegetation. Further research is needed to establish the generality of our results and to identify sources of variability in understory plant community responses to wildfire and post-fire logging. If further research confirms our findings, post-fire logging debates will be able to focus more on how to mitigate short-term disturbance impacts and manage fire-killed trees to meet wildlife habitat, fuel reduction, and economic objectives, and less on concerns over long-term ecosystem degradation.","DOI":"10.1016/j.foreco.2016.04.004","ISSN":"0378-1127","journalAbbreviation":"Forest Ecology and Management","author":[{"family":"Peterson","given":"David W."},{"family":"Dodson","given":"Erich Kyle"}],"issued":{"date-parts":[["2016",6,15]]}}}],"schema":"https://github.com/citation-style-language/schema/raw/master/csl-citation.json"} </w:instrText>
      </w:r>
      <w:r>
        <w:fldChar w:fldCharType="separate"/>
      </w:r>
      <w:r w:rsidR="00787C48" w:rsidRPr="00787C48">
        <w:rPr>
          <w:rFonts w:ascii="Calibri" w:hAnsi="Calibri" w:cs="Calibri"/>
          <w:szCs w:val="24"/>
          <w:vertAlign w:val="superscript"/>
        </w:rPr>
        <w:t>53</w:t>
      </w:r>
      <w:r>
        <w:fldChar w:fldCharType="end"/>
      </w:r>
    </w:p>
    <w:p w14:paraId="23EEAD67" w14:textId="77777777" w:rsidR="009D2B41" w:rsidRDefault="009D2B41">
      <w:pPr>
        <w:rPr>
          <w:rFonts w:asciiTheme="majorHAnsi" w:eastAsiaTheme="majorEastAsia" w:hAnsiTheme="majorHAnsi" w:cstheme="majorBidi"/>
          <w:color w:val="2E74B5" w:themeColor="accent1" w:themeShade="BF"/>
          <w:sz w:val="32"/>
          <w:szCs w:val="32"/>
        </w:rPr>
      </w:pPr>
      <w:bookmarkStart w:id="87" w:name="_Toc494874439"/>
      <w:r>
        <w:br w:type="page"/>
      </w:r>
    </w:p>
    <w:p w14:paraId="1A376A9A" w14:textId="44FE5EA8" w:rsidR="008D7BDA" w:rsidRDefault="008D7BDA" w:rsidP="008D7BDA">
      <w:pPr>
        <w:pStyle w:val="Heading1"/>
      </w:pPr>
      <w:bookmarkStart w:id="88" w:name="_Toc503934760"/>
      <w:r>
        <w:lastRenderedPageBreak/>
        <w:t>Literature Cited</w:t>
      </w:r>
      <w:bookmarkEnd w:id="87"/>
      <w:bookmarkEnd w:id="88"/>
    </w:p>
    <w:p w14:paraId="79210F52" w14:textId="1977635D" w:rsidR="004C2E00" w:rsidRDefault="00B34184" w:rsidP="004C2E00">
      <w:pPr>
        <w:pStyle w:val="Bibliography"/>
      </w:pPr>
      <w:r>
        <w:fldChar w:fldCharType="begin"/>
      </w:r>
      <w:r w:rsidR="00787C48">
        <w:instrText xml:space="preserve"> ADDIN ZOTERO_BIBL {"custom":[]} CSL_BIBLIOGRAPHY </w:instrText>
      </w:r>
      <w:r>
        <w:fldChar w:fldCharType="separate"/>
      </w:r>
      <w:r w:rsidR="004C2E00">
        <w:t>1.</w:t>
      </w:r>
      <w:r w:rsidR="004C2E00">
        <w:tab/>
        <w:t xml:space="preserve">Meidinger D, Pojar JJ. </w:t>
      </w:r>
      <w:r w:rsidR="004C2E00">
        <w:rPr>
          <w:i/>
          <w:iCs/>
        </w:rPr>
        <w:t>Ecosystems of British Columbia</w:t>
      </w:r>
      <w:r w:rsidR="004C2E00">
        <w:t xml:space="preserve">. </w:t>
      </w:r>
      <w:r w:rsidR="004C2E00" w:rsidRPr="004C2E00">
        <w:t xml:space="preserve">Special Report Series #6; </w:t>
      </w:r>
      <w:r w:rsidR="004C2E00">
        <w:t>Victoria BC: Research Branch, Ministry of Forests; 1991.</w:t>
      </w:r>
    </w:p>
    <w:p w14:paraId="0455C3AA" w14:textId="5674CB5B" w:rsidR="004C2E00" w:rsidRDefault="004C2E00" w:rsidP="004C2E00">
      <w:pPr>
        <w:pStyle w:val="Bibliography"/>
      </w:pPr>
      <w:r>
        <w:t>2.</w:t>
      </w:r>
      <w:r>
        <w:tab/>
        <w:t xml:space="preserve">Wehner MF, Arnold JR, Knutson T, et al. Droughts, floods, and wildfires In: </w:t>
      </w:r>
      <w:r>
        <w:rPr>
          <w:i/>
          <w:iCs/>
        </w:rPr>
        <w:t>Clim. Sci. Spec. Rep. Fourth Natl. Clim. Assess. Vol. I</w:t>
      </w:r>
      <w:r>
        <w:t>. pp. 231–256. U.S. Global Change Research Program, Washington, DC, USA; 2017.</w:t>
      </w:r>
    </w:p>
    <w:p w14:paraId="6940026F" w14:textId="77777777" w:rsidR="004C2E00" w:rsidRDefault="004C2E00" w:rsidP="004C2E00">
      <w:pPr>
        <w:pStyle w:val="Bibliography"/>
      </w:pPr>
      <w:r>
        <w:t>3.</w:t>
      </w:r>
      <w:r>
        <w:tab/>
        <w:t>Office of the Premier. Statement from Premier John Horgan on the 10th anniversary of the UN Declaration on the Rights of Indigenous Peoples. Available at: https://archive.news.gov.bc.ca/releases/news_releases_2017-2021/2017PREM0083-001562.htm. Accessed November 6, 2017.</w:t>
      </w:r>
    </w:p>
    <w:p w14:paraId="57AA4692" w14:textId="30D06C98" w:rsidR="004C2E00" w:rsidRDefault="004C2E00" w:rsidP="004C2E00">
      <w:pPr>
        <w:pStyle w:val="Bibliography"/>
      </w:pPr>
      <w:r>
        <w:t>4.</w:t>
      </w:r>
      <w:r>
        <w:tab/>
      </w:r>
      <w:r w:rsidRPr="004C2E00">
        <w:t>Forests Lands Natural Resource Operations and Rural Development</w:t>
      </w:r>
      <w:r>
        <w:t xml:space="preserve">. Timber Supply Areas - Province of British Columbia. Available at: </w:t>
      </w:r>
      <w:r w:rsidRPr="004C2E00">
        <w:t>https://www2.gov.bc.ca/gov/content/industry/forestry/managing-our-forest-resources/timber-supply-review-and-allowable-annual-cut/allowable-annual-cut-timber-supply-areas</w:t>
      </w:r>
      <w:r>
        <w:t xml:space="preserve">. Accessed </w:t>
      </w:r>
      <w:r w:rsidRPr="004C2E00">
        <w:t>January 13, 2018.</w:t>
      </w:r>
      <w:r>
        <w:t>.</w:t>
      </w:r>
    </w:p>
    <w:p w14:paraId="3A623E9C" w14:textId="77777777" w:rsidR="004C2E00" w:rsidRDefault="004C2E00" w:rsidP="004C2E00">
      <w:pPr>
        <w:pStyle w:val="Bibliography"/>
      </w:pPr>
      <w:r>
        <w:t>5.</w:t>
      </w:r>
      <w:r>
        <w:tab/>
        <w:t>Forests Lands Natural Resource Operations and Rural Development. New allowable annual cut set for Quesnel Timber Supply Area | BC Gov News. Available at: https://news.gov.bc.ca/releases/2017FLNR0122-001246. Accessed November 6, 2017.</w:t>
      </w:r>
    </w:p>
    <w:p w14:paraId="6608ABE7" w14:textId="7E37DAEF" w:rsidR="004C2E00" w:rsidRDefault="004C2E00" w:rsidP="004C2E00">
      <w:pPr>
        <w:pStyle w:val="Bibliography"/>
      </w:pPr>
      <w:r>
        <w:t>6.</w:t>
      </w:r>
      <w:r>
        <w:tab/>
        <w:t xml:space="preserve">Campbell E, Saunders SC, coates KD, et al. </w:t>
      </w:r>
      <w:r>
        <w:rPr>
          <w:i/>
          <w:iCs/>
        </w:rPr>
        <w:t>Ecological resilience and complexity: a theoretical framework for understanding and managing British Columbia’s forest ecosystems in a changing climate</w:t>
      </w:r>
      <w:r>
        <w:t xml:space="preserve">. </w:t>
      </w:r>
      <w:r w:rsidR="00CE01C1" w:rsidRPr="00CE01C1">
        <w:t xml:space="preserve">Technical Report 55; </w:t>
      </w:r>
      <w:r>
        <w:t>Victoria BC: MFLNRO; 2009.</w:t>
      </w:r>
    </w:p>
    <w:p w14:paraId="75B7B6D3" w14:textId="77777777" w:rsidR="004C2E00" w:rsidRDefault="004C2E00" w:rsidP="004C2E00">
      <w:pPr>
        <w:pStyle w:val="Bibliography"/>
      </w:pPr>
      <w:r>
        <w:t>7.</w:t>
      </w:r>
      <w:r>
        <w:tab/>
        <w:t xml:space="preserve">Hessburg PF, Churchill DJ, Larson AJ, et al. Restoring fire-prone Inland Pacific landscapes: seven core principles. </w:t>
      </w:r>
      <w:r>
        <w:rPr>
          <w:i/>
          <w:iCs/>
        </w:rPr>
        <w:t>Landsc Ecol</w:t>
      </w:r>
      <w:r>
        <w:t xml:space="preserve"> 2015:30;1805–1835.</w:t>
      </w:r>
    </w:p>
    <w:p w14:paraId="23EDAACD" w14:textId="77777777" w:rsidR="004C2E00" w:rsidRDefault="004C2E00" w:rsidP="004C2E00">
      <w:pPr>
        <w:pStyle w:val="Bibliography"/>
      </w:pPr>
      <w:r>
        <w:t>8.</w:t>
      </w:r>
      <w:r>
        <w:tab/>
        <w:t xml:space="preserve">Peterson DL, Agee JK, Aplet GH, et al. </w:t>
      </w:r>
      <w:r>
        <w:rPr>
          <w:i/>
          <w:iCs/>
        </w:rPr>
        <w:t>Effects of Timber Harvest Following Wildfire in Western North America</w:t>
      </w:r>
      <w:r>
        <w:t>. 2009.</w:t>
      </w:r>
    </w:p>
    <w:p w14:paraId="6FBE2E8C" w14:textId="77777777" w:rsidR="004C2E00" w:rsidRDefault="004C2E00" w:rsidP="004C2E00">
      <w:pPr>
        <w:pStyle w:val="Bibliography"/>
      </w:pPr>
      <w:r>
        <w:t>9.</w:t>
      </w:r>
      <w:r>
        <w:tab/>
        <w:t xml:space="preserve">Reid W, et al. </w:t>
      </w:r>
      <w:r>
        <w:rPr>
          <w:i/>
          <w:iCs/>
        </w:rPr>
        <w:t>Millennium Ecosystem Assessment, 2005. Ecosystems and Human Well-being: Synthesis.</w:t>
      </w:r>
      <w:r>
        <w:t xml:space="preserve"> Washington DC: Island Press; 2005.</w:t>
      </w:r>
    </w:p>
    <w:p w14:paraId="6E0C93E9" w14:textId="77777777" w:rsidR="004C2E00" w:rsidRDefault="004C2E00" w:rsidP="004C2E00">
      <w:pPr>
        <w:pStyle w:val="Bibliography"/>
      </w:pPr>
      <w:r>
        <w:t>10.</w:t>
      </w:r>
      <w:r>
        <w:tab/>
        <w:t xml:space="preserve">Karr JR, Rhodes JJ, Minshall GW, et al. The Effects of Postfire Salvage Logging on Aquatic Ecosystems in the American West. </w:t>
      </w:r>
      <w:r>
        <w:rPr>
          <w:i/>
          <w:iCs/>
        </w:rPr>
        <w:t>BioScience</w:t>
      </w:r>
      <w:r>
        <w:t xml:space="preserve"> 2004:54;1029–1033.</w:t>
      </w:r>
    </w:p>
    <w:p w14:paraId="739356F0" w14:textId="77777777" w:rsidR="004C2E00" w:rsidRDefault="004C2E00" w:rsidP="004C2E00">
      <w:pPr>
        <w:pStyle w:val="Bibliography"/>
      </w:pPr>
      <w:r>
        <w:t>11.</w:t>
      </w:r>
      <w:r>
        <w:tab/>
        <w:t xml:space="preserve">Silins U, Anderson A, Bladon KD, et al. Southern Rockies Watershed Project. </w:t>
      </w:r>
      <w:r>
        <w:rPr>
          <w:i/>
          <w:iCs/>
        </w:rPr>
        <w:t>For Chron</w:t>
      </w:r>
      <w:r>
        <w:t xml:space="preserve"> 2016:92;39–42.</w:t>
      </w:r>
    </w:p>
    <w:p w14:paraId="767B3AC8" w14:textId="77777777" w:rsidR="004C2E00" w:rsidRDefault="004C2E00" w:rsidP="004C2E00">
      <w:pPr>
        <w:pStyle w:val="Bibliography"/>
      </w:pPr>
      <w:r>
        <w:t>12.</w:t>
      </w:r>
      <w:r>
        <w:tab/>
        <w:t xml:space="preserve">Jordan P. Post-wildfire debris flows in southern British Columbia, Canada. </w:t>
      </w:r>
      <w:r>
        <w:rPr>
          <w:i/>
          <w:iCs/>
        </w:rPr>
        <w:t>Int J Wildland Fire</w:t>
      </w:r>
      <w:r>
        <w:t xml:space="preserve"> 2016:25;322–336.</w:t>
      </w:r>
    </w:p>
    <w:p w14:paraId="708B05C3" w14:textId="46E2C4C8" w:rsidR="004C2E00" w:rsidRDefault="004C2E00" w:rsidP="004C2E00">
      <w:pPr>
        <w:pStyle w:val="Bibliography"/>
      </w:pPr>
      <w:r>
        <w:t>13.</w:t>
      </w:r>
      <w:r>
        <w:tab/>
        <w:t xml:space="preserve">Thorn S, Bässler C, Brandl R, et al. Impacts of salvage logging on biodiversity: a meta-analysis. </w:t>
      </w:r>
      <w:r>
        <w:rPr>
          <w:i/>
          <w:iCs/>
        </w:rPr>
        <w:t>J Appl Ecol</w:t>
      </w:r>
      <w:r>
        <w:t xml:space="preserve"> 2017. [Epub ahead of print]. doi:10.1111/1365-2664.12945.</w:t>
      </w:r>
    </w:p>
    <w:p w14:paraId="2068F477" w14:textId="04A40407" w:rsidR="004C2E00" w:rsidRDefault="004C2E00" w:rsidP="004C2E00">
      <w:pPr>
        <w:pStyle w:val="Bibliography"/>
      </w:pPr>
      <w:r>
        <w:t>14.</w:t>
      </w:r>
      <w:r>
        <w:tab/>
        <w:t xml:space="preserve">Stevens-Rumann CS, Kemp KB, Higuera PE, et al. Evidence for declining forest resilience to wildfires under climate change. </w:t>
      </w:r>
      <w:r>
        <w:rPr>
          <w:i/>
          <w:iCs/>
        </w:rPr>
        <w:t>Ecol Lett</w:t>
      </w:r>
      <w:r>
        <w:t xml:space="preserve"> </w:t>
      </w:r>
      <w:r w:rsidR="00CE01C1">
        <w:t>2017</w:t>
      </w:r>
      <w:r>
        <w:t>. [Epub ahead of print]. doi:10.1111/ele.12889.</w:t>
      </w:r>
    </w:p>
    <w:p w14:paraId="75773EFC" w14:textId="77777777" w:rsidR="004C2E00" w:rsidRDefault="004C2E00" w:rsidP="004C2E00">
      <w:pPr>
        <w:pStyle w:val="Bibliography"/>
      </w:pPr>
      <w:r>
        <w:t>15.</w:t>
      </w:r>
      <w:r>
        <w:tab/>
        <w:t xml:space="preserve">Petrie MD, Bradford JB, Hubbard RM, et al. Climate change may restrict dryland forest regeneration in the 21st century. </w:t>
      </w:r>
      <w:r>
        <w:rPr>
          <w:i/>
          <w:iCs/>
        </w:rPr>
        <w:t>Ecology</w:t>
      </w:r>
      <w:r>
        <w:t xml:space="preserve"> 2017:98;1548–1559.</w:t>
      </w:r>
    </w:p>
    <w:p w14:paraId="7AB84DDE" w14:textId="77777777" w:rsidR="004C2E00" w:rsidRDefault="004C2E00" w:rsidP="004C2E00">
      <w:pPr>
        <w:pStyle w:val="Bibliography"/>
      </w:pPr>
      <w:r>
        <w:t>16.</w:t>
      </w:r>
      <w:r>
        <w:tab/>
        <w:t>Walton A. Provincial-Level Projection of the Current Mountain Pine Beetle Outbreak. Mountain Pine Beetle Infestation Projection. Available at: https://www.for.gov.bc.ca/hre/bcmpb/. Accessed October 27, 2017.</w:t>
      </w:r>
    </w:p>
    <w:p w14:paraId="0B903576" w14:textId="77777777" w:rsidR="004C2E00" w:rsidRDefault="004C2E00" w:rsidP="004C2E00">
      <w:pPr>
        <w:pStyle w:val="Bibliography"/>
      </w:pPr>
      <w:r>
        <w:t>17.</w:t>
      </w:r>
      <w:r>
        <w:tab/>
        <w:t xml:space="preserve">Maclauchlan L, Buxton K. </w:t>
      </w:r>
      <w:r>
        <w:rPr>
          <w:i/>
          <w:iCs/>
        </w:rPr>
        <w:t>2016 Overview of Forest Health Conditions in Southern B.C.</w:t>
      </w:r>
      <w:r>
        <w:t xml:space="preserve"> Ministry of Forests, Lands and Natural Resource Operations, Kamloops, B.C; 2016.</w:t>
      </w:r>
    </w:p>
    <w:p w14:paraId="365FB46D" w14:textId="77777777" w:rsidR="004C2E00" w:rsidRDefault="004C2E00" w:rsidP="004C2E00">
      <w:pPr>
        <w:pStyle w:val="Bibliography"/>
      </w:pPr>
      <w:r>
        <w:t>18.</w:t>
      </w:r>
      <w:r>
        <w:tab/>
        <w:t xml:space="preserve">Black SH, Kulakowski D, Noon BR, et al. Do Bark Beetle Outbreaks Increase Wildfire Risks in the Central U.S. Rocky Mountains? Implications from Recent Research. </w:t>
      </w:r>
      <w:r>
        <w:rPr>
          <w:i/>
          <w:iCs/>
        </w:rPr>
        <w:t>Nat Areas J</w:t>
      </w:r>
      <w:r>
        <w:t xml:space="preserve"> 2013:33;59–65.</w:t>
      </w:r>
    </w:p>
    <w:p w14:paraId="10999B28" w14:textId="77777777" w:rsidR="004C2E00" w:rsidRDefault="004C2E00" w:rsidP="004C2E00">
      <w:pPr>
        <w:pStyle w:val="Bibliography"/>
      </w:pPr>
      <w:r>
        <w:t>19.</w:t>
      </w:r>
      <w:r>
        <w:tab/>
        <w:t xml:space="preserve">Lindenmayer DB, Burton PJ, Franklin JF. </w:t>
      </w:r>
      <w:r>
        <w:rPr>
          <w:i/>
          <w:iCs/>
        </w:rPr>
        <w:t>Salvage Logging and Its Ecological Consequences</w:t>
      </w:r>
      <w:r>
        <w:t>. Washington DC: Island Press; 2008.</w:t>
      </w:r>
    </w:p>
    <w:p w14:paraId="6FE21409" w14:textId="77777777" w:rsidR="004C2E00" w:rsidRDefault="004C2E00" w:rsidP="004C2E00">
      <w:pPr>
        <w:pStyle w:val="Bibliography"/>
      </w:pPr>
      <w:r>
        <w:lastRenderedPageBreak/>
        <w:t>20.</w:t>
      </w:r>
      <w:r>
        <w:tab/>
        <w:t xml:space="preserve">Slesak RA, Schoenholtz SH, Evans D. Hillslope erosion two and three years after wildfire, skyline salvage logging, and site preparation in southern Oregon, USA. </w:t>
      </w:r>
      <w:r>
        <w:rPr>
          <w:i/>
          <w:iCs/>
        </w:rPr>
        <w:t>For Ecol Manag</w:t>
      </w:r>
      <w:r>
        <w:t xml:space="preserve"> 2015:342;1–7.</w:t>
      </w:r>
    </w:p>
    <w:p w14:paraId="4F279A8D" w14:textId="77777777" w:rsidR="004C2E00" w:rsidRDefault="004C2E00" w:rsidP="004C2E00">
      <w:pPr>
        <w:pStyle w:val="Bibliography"/>
      </w:pPr>
      <w:r>
        <w:t>21.</w:t>
      </w:r>
      <w:r>
        <w:tab/>
        <w:t xml:space="preserve">Schmiegelow FK a., Stepnisky DP, Stambaugh CA, et al. Reconciling Salvage Logging of Boreal Forests with a Natural-Disturbance Management Model. </w:t>
      </w:r>
      <w:r>
        <w:rPr>
          <w:i/>
          <w:iCs/>
        </w:rPr>
        <w:t>Conserv Biol</w:t>
      </w:r>
      <w:r>
        <w:t xml:space="preserve"> 2006:20;971–983.</w:t>
      </w:r>
    </w:p>
    <w:p w14:paraId="3D60E1AC" w14:textId="77777777" w:rsidR="004C2E00" w:rsidRDefault="004C2E00" w:rsidP="004C2E00">
      <w:pPr>
        <w:pStyle w:val="Bibliography"/>
      </w:pPr>
      <w:r>
        <w:t>22.</w:t>
      </w:r>
      <w:r>
        <w:tab/>
        <w:t xml:space="preserve">Buma B. Disturbance interactions: characterization, prediction, and the potential for cascading effects. </w:t>
      </w:r>
      <w:r>
        <w:rPr>
          <w:i/>
          <w:iCs/>
        </w:rPr>
        <w:t>Ecosphere</w:t>
      </w:r>
      <w:r>
        <w:t xml:space="preserve"> 2015:6;1–15.</w:t>
      </w:r>
    </w:p>
    <w:p w14:paraId="48BE6424" w14:textId="77777777" w:rsidR="004C2E00" w:rsidRDefault="004C2E00" w:rsidP="004C2E00">
      <w:pPr>
        <w:pStyle w:val="Bibliography"/>
      </w:pPr>
      <w:r>
        <w:t>23.</w:t>
      </w:r>
      <w:r>
        <w:tab/>
        <w:t xml:space="preserve">Holling CS. Cross-Scale Morphology, Geometry, and Dynamics of Ecosystems. </w:t>
      </w:r>
      <w:r>
        <w:rPr>
          <w:i/>
          <w:iCs/>
        </w:rPr>
        <w:t>Ecol Monogr</w:t>
      </w:r>
      <w:r>
        <w:t xml:space="preserve"> 1992:62;447–502.</w:t>
      </w:r>
    </w:p>
    <w:p w14:paraId="4B149F0E" w14:textId="77777777" w:rsidR="004C2E00" w:rsidRDefault="004C2E00" w:rsidP="004C2E00">
      <w:pPr>
        <w:pStyle w:val="Bibliography"/>
      </w:pPr>
      <w:r>
        <w:t>24.</w:t>
      </w:r>
      <w:r>
        <w:tab/>
        <w:t xml:space="preserve">Folke C, Carpenter S, Walker B, et al. Regime Shifts, Resilience, and Biodiversity in Ecosystem Management. </w:t>
      </w:r>
      <w:r>
        <w:rPr>
          <w:i/>
          <w:iCs/>
        </w:rPr>
        <w:t>Annu Rev Ecol Evol Syst</w:t>
      </w:r>
      <w:r>
        <w:t xml:space="preserve"> 2004:35;557–581.</w:t>
      </w:r>
    </w:p>
    <w:p w14:paraId="7126BE17" w14:textId="77777777" w:rsidR="004C2E00" w:rsidRDefault="004C2E00" w:rsidP="004C2E00">
      <w:pPr>
        <w:pStyle w:val="Bibliography"/>
      </w:pPr>
      <w:r>
        <w:t>25.</w:t>
      </w:r>
      <w:r>
        <w:tab/>
        <w:t xml:space="preserve">Gunderson LH. Ecological Resilience—In Theory and Application. </w:t>
      </w:r>
      <w:r>
        <w:rPr>
          <w:i/>
          <w:iCs/>
        </w:rPr>
        <w:t>Annu Rev Ecol Syst</w:t>
      </w:r>
      <w:r>
        <w:t xml:space="preserve"> 2000:31;425–439.</w:t>
      </w:r>
    </w:p>
    <w:p w14:paraId="765768AC" w14:textId="3016C333" w:rsidR="004C2E00" w:rsidRDefault="004C2E00" w:rsidP="004C2E00">
      <w:pPr>
        <w:pStyle w:val="Bibliography"/>
      </w:pPr>
      <w:r>
        <w:t>26.</w:t>
      </w:r>
      <w:r>
        <w:tab/>
        <w:t xml:space="preserve">Scheffer M, Carpenter S, Foley JA, et al. Catastrophic shifts in ecosystems. </w:t>
      </w:r>
      <w:r>
        <w:rPr>
          <w:i/>
          <w:iCs/>
        </w:rPr>
        <w:t>Nature</w:t>
      </w:r>
      <w:r>
        <w:t xml:space="preserve"> 2001:413.</w:t>
      </w:r>
    </w:p>
    <w:p w14:paraId="1257731E" w14:textId="77777777" w:rsidR="004C2E00" w:rsidRDefault="004C2E00" w:rsidP="004C2E00">
      <w:pPr>
        <w:pStyle w:val="Bibliography"/>
      </w:pPr>
      <w:r>
        <w:t>27.</w:t>
      </w:r>
      <w:r>
        <w:tab/>
        <w:t xml:space="preserve">Scheffer M, Carpenter SR. Catastrophic regime shifts in ecosystems: linking theory to observation. </w:t>
      </w:r>
      <w:r>
        <w:rPr>
          <w:i/>
          <w:iCs/>
        </w:rPr>
        <w:t>Trends Ecol Evol</w:t>
      </w:r>
      <w:r>
        <w:t xml:space="preserve"> 2003:18;648–656.</w:t>
      </w:r>
    </w:p>
    <w:p w14:paraId="3FE7F747" w14:textId="77777777" w:rsidR="004C2E00" w:rsidRDefault="004C2E00" w:rsidP="004C2E00">
      <w:pPr>
        <w:pStyle w:val="Bibliography"/>
      </w:pPr>
      <w:r>
        <w:t>28.</w:t>
      </w:r>
      <w:r>
        <w:tab/>
        <w:t xml:space="preserve">Buma B, Wessman CA. Disturbance interactions can impact resilience mechanisms of forests. </w:t>
      </w:r>
      <w:r>
        <w:rPr>
          <w:i/>
          <w:iCs/>
        </w:rPr>
        <w:t>Ecosphere</w:t>
      </w:r>
      <w:r>
        <w:t xml:space="preserve"> 2011:2;1–13.</w:t>
      </w:r>
    </w:p>
    <w:p w14:paraId="41062D2B" w14:textId="77777777" w:rsidR="004C2E00" w:rsidRDefault="004C2E00" w:rsidP="004C2E00">
      <w:pPr>
        <w:pStyle w:val="Bibliography"/>
      </w:pPr>
      <w:r>
        <w:t>29.</w:t>
      </w:r>
      <w:r>
        <w:tab/>
        <w:t xml:space="preserve">Walker B, Meyers J. Thresholds in Ecological and Social–Ecological Systems: a Developing Database. </w:t>
      </w:r>
      <w:r>
        <w:rPr>
          <w:i/>
          <w:iCs/>
        </w:rPr>
        <w:t>Ecol Soc</w:t>
      </w:r>
      <w:r>
        <w:t xml:space="preserve"> 2004:9.</w:t>
      </w:r>
    </w:p>
    <w:p w14:paraId="24FFA450" w14:textId="77777777" w:rsidR="004C2E00" w:rsidRDefault="004C2E00" w:rsidP="004C2E00">
      <w:pPr>
        <w:pStyle w:val="Bibliography"/>
      </w:pPr>
      <w:r>
        <w:t>30.</w:t>
      </w:r>
      <w:r>
        <w:tab/>
        <w:t xml:space="preserve">Messier C, Puettmann K, Filotas E, et al. Dealing with Non-linearity and Uncertainty in Forest Management. </w:t>
      </w:r>
      <w:r>
        <w:rPr>
          <w:i/>
          <w:iCs/>
        </w:rPr>
        <w:t>Curr For Rep</w:t>
      </w:r>
      <w:r>
        <w:t xml:space="preserve"> 2016:2;150–161.</w:t>
      </w:r>
    </w:p>
    <w:p w14:paraId="7E4F54CB" w14:textId="77777777" w:rsidR="004C2E00" w:rsidRDefault="004C2E00" w:rsidP="004C2E00">
      <w:pPr>
        <w:pStyle w:val="Bibliography"/>
      </w:pPr>
      <w:r>
        <w:t>31.</w:t>
      </w:r>
      <w:r>
        <w:tab/>
        <w:t xml:space="preserve">Seidl R, Spies TA, Peterson DL, et al. Searching for resilience: addressing the impacts of changing disturbance regimes on forest ecosystem services. </w:t>
      </w:r>
      <w:r>
        <w:rPr>
          <w:i/>
          <w:iCs/>
        </w:rPr>
        <w:t>J Appl Ecol</w:t>
      </w:r>
      <w:r>
        <w:t xml:space="preserve"> 2016:53;120–129.</w:t>
      </w:r>
    </w:p>
    <w:p w14:paraId="4474F7BE" w14:textId="77777777" w:rsidR="004C2E00" w:rsidRDefault="004C2E00" w:rsidP="004C2E00">
      <w:pPr>
        <w:pStyle w:val="Bibliography"/>
      </w:pPr>
      <w:r>
        <w:t>32.</w:t>
      </w:r>
      <w:r>
        <w:tab/>
        <w:t xml:space="preserve">Turner MG. Disturbance and landscape dynamics in a changing world1. </w:t>
      </w:r>
      <w:r>
        <w:rPr>
          <w:i/>
          <w:iCs/>
        </w:rPr>
        <w:t>Ecology</w:t>
      </w:r>
      <w:r>
        <w:t xml:space="preserve"> 2010:91;2833–2849.</w:t>
      </w:r>
    </w:p>
    <w:p w14:paraId="56510193" w14:textId="0137D044" w:rsidR="004C2E00" w:rsidRDefault="004C2E00" w:rsidP="004C2E00">
      <w:pPr>
        <w:pStyle w:val="Bibliography"/>
      </w:pPr>
      <w:r>
        <w:t>33.</w:t>
      </w:r>
      <w:r>
        <w:tab/>
        <w:t>Veblen TT. Disturbance Biogeography</w:t>
      </w:r>
      <w:r w:rsidR="00CE01C1">
        <w:t xml:space="preserve"> </w:t>
      </w:r>
      <w:r>
        <w:t xml:space="preserve">In: </w:t>
      </w:r>
      <w:r>
        <w:rPr>
          <w:i/>
          <w:iCs/>
        </w:rPr>
        <w:t>Int. Encycl. Geogr.</w:t>
      </w:r>
      <w:r>
        <w:t xml:space="preserve"> pp. 1–13. 2017.</w:t>
      </w:r>
    </w:p>
    <w:p w14:paraId="7CB63E2A" w14:textId="77777777" w:rsidR="004C2E00" w:rsidRDefault="004C2E00" w:rsidP="004C2E00">
      <w:pPr>
        <w:pStyle w:val="Bibliography"/>
      </w:pPr>
      <w:r>
        <w:t>34.</w:t>
      </w:r>
      <w:r>
        <w:tab/>
        <w:t xml:space="preserve">Romme WH, Everham EH, Frelich LE, et al. Are Large, Infrequent Disturbances Qualitatively Different from Small, Frequent Disturbances? </w:t>
      </w:r>
      <w:r>
        <w:rPr>
          <w:i/>
          <w:iCs/>
        </w:rPr>
        <w:t>Ecosystems</w:t>
      </w:r>
      <w:r>
        <w:t xml:space="preserve"> 1998:1;524–534.</w:t>
      </w:r>
    </w:p>
    <w:p w14:paraId="767BC252" w14:textId="77777777" w:rsidR="004C2E00" w:rsidRDefault="004C2E00" w:rsidP="004C2E00">
      <w:pPr>
        <w:pStyle w:val="Bibliography"/>
      </w:pPr>
      <w:r>
        <w:t>35.</w:t>
      </w:r>
      <w:r>
        <w:tab/>
        <w:t xml:space="preserve">Turner MG, Baker WL, Peterson CJ, et al. Factors Influencing Succession: Lessons from Large, Infrequent Natural Disturbances. </w:t>
      </w:r>
      <w:r>
        <w:rPr>
          <w:i/>
          <w:iCs/>
        </w:rPr>
        <w:t>Ecosystems</w:t>
      </w:r>
      <w:r>
        <w:t xml:space="preserve"> 1998:1;511–523.</w:t>
      </w:r>
    </w:p>
    <w:p w14:paraId="04DAC7BE" w14:textId="77777777" w:rsidR="004C2E00" w:rsidRDefault="004C2E00" w:rsidP="004C2E00">
      <w:pPr>
        <w:pStyle w:val="Bibliography"/>
      </w:pPr>
      <w:r>
        <w:t>36.</w:t>
      </w:r>
      <w:r>
        <w:tab/>
        <w:t xml:space="preserve">Drever CR, Peterson G, Messier C, et al. Can forest management based on natural disturbances maintain ecological resilience? </w:t>
      </w:r>
      <w:r>
        <w:rPr>
          <w:i/>
          <w:iCs/>
        </w:rPr>
        <w:t>Can J For Res</w:t>
      </w:r>
      <w:r>
        <w:t xml:space="preserve"> 2006:36;2285–2299.</w:t>
      </w:r>
    </w:p>
    <w:p w14:paraId="582D728E" w14:textId="5DA32C00" w:rsidR="004C2E00" w:rsidRDefault="004C2E00" w:rsidP="004C2E00">
      <w:pPr>
        <w:pStyle w:val="Bibliography"/>
      </w:pPr>
      <w:r>
        <w:t>37.</w:t>
      </w:r>
      <w:r>
        <w:tab/>
        <w:t xml:space="preserve">Dykstra P. </w:t>
      </w:r>
      <w:r>
        <w:rPr>
          <w:i/>
          <w:iCs/>
        </w:rPr>
        <w:t>Thresholds in habitat supply: A review of the literature</w:t>
      </w:r>
      <w:r>
        <w:t xml:space="preserve">. </w:t>
      </w:r>
      <w:r w:rsidR="00CE01C1" w:rsidRPr="00CE01C1">
        <w:t xml:space="preserve">Wildlife Report No. R-27; </w:t>
      </w:r>
      <w:r>
        <w:t>Victoria BC: Ministry of Water, Land and Air Protection; 2004.</w:t>
      </w:r>
    </w:p>
    <w:p w14:paraId="629083B5" w14:textId="77777777" w:rsidR="004C2E00" w:rsidRDefault="004C2E00" w:rsidP="004C2E00">
      <w:pPr>
        <w:pStyle w:val="Bibliography"/>
      </w:pPr>
      <w:r>
        <w:t>38.</w:t>
      </w:r>
      <w:r>
        <w:tab/>
        <w:t xml:space="preserve">Gunderson LH, Holling C s. </w:t>
      </w:r>
      <w:r>
        <w:rPr>
          <w:i/>
          <w:iCs/>
        </w:rPr>
        <w:t>Panarchy: Understanding Transformations in Human and Natural Systems</w:t>
      </w:r>
      <w:r>
        <w:t>. Island Press; 2001.</w:t>
      </w:r>
    </w:p>
    <w:p w14:paraId="5D199397" w14:textId="057EF235" w:rsidR="004C2E00" w:rsidRDefault="004C2E00" w:rsidP="004C2E00">
      <w:pPr>
        <w:pStyle w:val="Bibliography"/>
      </w:pPr>
      <w:r>
        <w:t>39.</w:t>
      </w:r>
      <w:r>
        <w:tab/>
        <w:t xml:space="preserve">Gill NS, Jarvis D, Veblen TT, et al. Is initial post-disturbance regeneration indicative of longer-term trajectories? </w:t>
      </w:r>
      <w:r>
        <w:rPr>
          <w:i/>
          <w:iCs/>
        </w:rPr>
        <w:t>Ecosphere</w:t>
      </w:r>
      <w:r>
        <w:t xml:space="preserve"> 2017:8.</w:t>
      </w:r>
    </w:p>
    <w:p w14:paraId="393FE3B8" w14:textId="77777777" w:rsidR="004C2E00" w:rsidRDefault="004C2E00" w:rsidP="004C2E00">
      <w:pPr>
        <w:pStyle w:val="Bibliography"/>
      </w:pPr>
      <w:r>
        <w:t>40.</w:t>
      </w:r>
      <w:r>
        <w:tab/>
        <w:t xml:space="preserve">Rother MT, Veblen TT. Climate Drives Episodic Conifer Establishment after Fire in Dry Ponderosa Pine Forests of the Colorado Front Range, USA. </w:t>
      </w:r>
      <w:r>
        <w:rPr>
          <w:i/>
          <w:iCs/>
        </w:rPr>
        <w:t>Forests</w:t>
      </w:r>
      <w:r>
        <w:t xml:space="preserve"> 2017:8;159.</w:t>
      </w:r>
    </w:p>
    <w:p w14:paraId="630FD7D8" w14:textId="77777777" w:rsidR="004C2E00" w:rsidRDefault="004C2E00" w:rsidP="004C2E00">
      <w:pPr>
        <w:pStyle w:val="Bibliography"/>
      </w:pPr>
      <w:r>
        <w:t>41.</w:t>
      </w:r>
      <w:r>
        <w:tab/>
        <w:t xml:space="preserve">Thom D, Rammer W, Seidl R. The impact of future forest dynamics on climate: interactive effects of changing vegetation and disturbance regimes. </w:t>
      </w:r>
      <w:r>
        <w:rPr>
          <w:i/>
          <w:iCs/>
        </w:rPr>
        <w:t>Ecol Monogr</w:t>
      </w:r>
      <w:r>
        <w:t xml:space="preserve"> 2017:87;665–684.</w:t>
      </w:r>
    </w:p>
    <w:p w14:paraId="71D856AD" w14:textId="77777777" w:rsidR="004C2E00" w:rsidRDefault="004C2E00" w:rsidP="004C2E00">
      <w:pPr>
        <w:pStyle w:val="Bibliography"/>
      </w:pPr>
      <w:r>
        <w:t>42.</w:t>
      </w:r>
      <w:r>
        <w:tab/>
        <w:t xml:space="preserve">Seidl R, Thom D, Kautz M, et al. Forest disturbances under climate change. </w:t>
      </w:r>
      <w:r>
        <w:rPr>
          <w:i/>
          <w:iCs/>
        </w:rPr>
        <w:t>Nat Clim Change</w:t>
      </w:r>
      <w:r>
        <w:t xml:space="preserve"> 2017:7;395–402.</w:t>
      </w:r>
    </w:p>
    <w:p w14:paraId="1382298E" w14:textId="77777777" w:rsidR="004C2E00" w:rsidRDefault="004C2E00" w:rsidP="004C2E00">
      <w:pPr>
        <w:pStyle w:val="Bibliography"/>
      </w:pPr>
      <w:r>
        <w:t>43.</w:t>
      </w:r>
      <w:r>
        <w:tab/>
        <w:t xml:space="preserve">Jackson MC, Loewen CJG, Vinebrooke RD, et al. Net effects of multiple stressors in freshwater ecosystems: a meta-analysis. </w:t>
      </w:r>
      <w:r>
        <w:rPr>
          <w:i/>
          <w:iCs/>
        </w:rPr>
        <w:t>Glob Change Biol</w:t>
      </w:r>
      <w:r>
        <w:t xml:space="preserve"> 2016:22;180–189.</w:t>
      </w:r>
    </w:p>
    <w:p w14:paraId="0380E60F" w14:textId="77777777" w:rsidR="004C2E00" w:rsidRDefault="004C2E00" w:rsidP="004C2E00">
      <w:pPr>
        <w:pStyle w:val="Bibliography"/>
      </w:pPr>
      <w:r>
        <w:t>44.</w:t>
      </w:r>
      <w:r>
        <w:tab/>
        <w:t xml:space="preserve">Boiffin J, Munson AD. Three large fire years threaten resilience of closed crown black spruce forests in eastern Canada. </w:t>
      </w:r>
      <w:r>
        <w:rPr>
          <w:i/>
          <w:iCs/>
        </w:rPr>
        <w:t>Ecosphere</w:t>
      </w:r>
      <w:r>
        <w:t xml:space="preserve"> 2013:4;1–20.</w:t>
      </w:r>
    </w:p>
    <w:p w14:paraId="03068D24" w14:textId="77689588" w:rsidR="004C2E00" w:rsidRDefault="004C2E00" w:rsidP="004C2E00">
      <w:pPr>
        <w:pStyle w:val="Bibliography"/>
      </w:pPr>
      <w:r>
        <w:lastRenderedPageBreak/>
        <w:t>45.</w:t>
      </w:r>
      <w:r>
        <w:tab/>
        <w:t xml:space="preserve">Forest Practices Board. </w:t>
      </w:r>
      <w:r>
        <w:rPr>
          <w:i/>
          <w:iCs/>
        </w:rPr>
        <w:t>Post-fire Site Rehabilitation: Final Report</w:t>
      </w:r>
      <w:r>
        <w:t xml:space="preserve">. </w:t>
      </w:r>
      <w:r w:rsidR="00CE01C1" w:rsidRPr="00CE01C1">
        <w:t xml:space="preserve">Special Investigation Report 12; </w:t>
      </w:r>
      <w:r>
        <w:t>2005.</w:t>
      </w:r>
    </w:p>
    <w:p w14:paraId="2D6160B1" w14:textId="77777777" w:rsidR="004C2E00" w:rsidRDefault="004C2E00" w:rsidP="004C2E00">
      <w:pPr>
        <w:pStyle w:val="Bibliography"/>
      </w:pPr>
      <w:r>
        <w:t>46.</w:t>
      </w:r>
      <w:r>
        <w:tab/>
        <w:t xml:space="preserve">Demirtas I, Wagenbrenner JW, Olsen W, et al. Effects of Post-Fire Salvage Logging on Infiltration, Soil Compaction, and Erosion in Central California. </w:t>
      </w:r>
      <w:r>
        <w:rPr>
          <w:i/>
          <w:iCs/>
        </w:rPr>
        <w:t>AGU Fall Meet Abstr</w:t>
      </w:r>
      <w:r>
        <w:t xml:space="preserve"> 2016:43.</w:t>
      </w:r>
    </w:p>
    <w:p w14:paraId="0BC72C24" w14:textId="77777777" w:rsidR="004C2E00" w:rsidRDefault="004C2E00" w:rsidP="004C2E00">
      <w:pPr>
        <w:pStyle w:val="Bibliography"/>
      </w:pPr>
      <w:r>
        <w:t>47.</w:t>
      </w:r>
      <w:r>
        <w:tab/>
        <w:t xml:space="preserve">Bladon KD, Redding T. Wildfire and Watershed Hydrology: Key Findings from a Workshop. </w:t>
      </w:r>
      <w:r>
        <w:rPr>
          <w:i/>
          <w:iCs/>
        </w:rPr>
        <w:t>Streamline Watershed Manag Bull</w:t>
      </w:r>
      <w:r>
        <w:t xml:space="preserve"> 2009:13;1–4.</w:t>
      </w:r>
    </w:p>
    <w:p w14:paraId="72F51048" w14:textId="77777777" w:rsidR="004C2E00" w:rsidRDefault="004C2E00" w:rsidP="004C2E00">
      <w:pPr>
        <w:pStyle w:val="Bibliography"/>
      </w:pPr>
      <w:r>
        <w:t>48.</w:t>
      </w:r>
      <w:r>
        <w:tab/>
        <w:t xml:space="preserve">Wagenbrenner JW, MacDonald LH, Coats RN, et al. Effects of post-fire salvage logging and a skid trail treatment on ground cover, soils, and sediment production in the interior western United States. </w:t>
      </w:r>
      <w:r>
        <w:rPr>
          <w:i/>
          <w:iCs/>
        </w:rPr>
        <w:t>For Ecol Manag</w:t>
      </w:r>
      <w:r>
        <w:t xml:space="preserve"> 2015:335;176–193.</w:t>
      </w:r>
    </w:p>
    <w:p w14:paraId="3E7E84A1" w14:textId="77777777" w:rsidR="004C2E00" w:rsidRDefault="004C2E00" w:rsidP="004C2E00">
      <w:pPr>
        <w:pStyle w:val="Bibliography"/>
      </w:pPr>
      <w:r>
        <w:t>49.</w:t>
      </w:r>
      <w:r>
        <w:tab/>
        <w:t xml:space="preserve">Silins U, Stone M, Emelko MB, et al. Sediment production following severe wildfire and post-fire salvage logging in the Rocky Mountain headwaters of the Oldman River Basin, Alberta. </w:t>
      </w:r>
      <w:r>
        <w:rPr>
          <w:i/>
          <w:iCs/>
        </w:rPr>
        <w:t>CATENA</w:t>
      </w:r>
      <w:r>
        <w:t xml:space="preserve"> 2009:79;189–197.</w:t>
      </w:r>
    </w:p>
    <w:p w14:paraId="16B2F2AD" w14:textId="1017B083" w:rsidR="004C2E00" w:rsidRDefault="004C2E00" w:rsidP="004C2E00">
      <w:pPr>
        <w:pStyle w:val="Bibliography"/>
      </w:pPr>
      <w:r>
        <w:t>50.</w:t>
      </w:r>
      <w:r>
        <w:tab/>
        <w:t xml:space="preserve">Hope G, Jordan P, Winkler R, et al. </w:t>
      </w:r>
      <w:r>
        <w:rPr>
          <w:i/>
          <w:iCs/>
        </w:rPr>
        <w:t>Post-wildfire natural hazards risk analysis in British Columbia</w:t>
      </w:r>
      <w:r>
        <w:t xml:space="preserve">. </w:t>
      </w:r>
      <w:r w:rsidR="00CE01C1" w:rsidRPr="00CE01C1">
        <w:t xml:space="preserve">Land Management Handbook #69; </w:t>
      </w:r>
      <w:r>
        <w:t>Victoria BC: MFLNRO; 2015.</w:t>
      </w:r>
    </w:p>
    <w:p w14:paraId="6A1496AF" w14:textId="77777777" w:rsidR="004C2E00" w:rsidRDefault="004C2E00" w:rsidP="004C2E00">
      <w:pPr>
        <w:pStyle w:val="Bibliography"/>
      </w:pPr>
      <w:r>
        <w:t>51.</w:t>
      </w:r>
      <w:r>
        <w:tab/>
        <w:t xml:space="preserve">Rother MT, Veblen TT. Limited conifer regeneration following wildfires in dry ponderosa pine forests of the Colorado Front Range. </w:t>
      </w:r>
      <w:r>
        <w:rPr>
          <w:i/>
          <w:iCs/>
        </w:rPr>
        <w:t>Ecosphere</w:t>
      </w:r>
      <w:r>
        <w:t xml:space="preserve"> 2016:7;n/a-n/a.</w:t>
      </w:r>
    </w:p>
    <w:p w14:paraId="32E5AE7D" w14:textId="77777777" w:rsidR="004C2E00" w:rsidRDefault="004C2E00" w:rsidP="004C2E00">
      <w:pPr>
        <w:pStyle w:val="Bibliography"/>
      </w:pPr>
      <w:r>
        <w:t>52.</w:t>
      </w:r>
      <w:r>
        <w:tab/>
        <w:t xml:space="preserve">Burton P. Learning to live with fire. </w:t>
      </w:r>
      <w:r>
        <w:rPr>
          <w:i/>
          <w:iCs/>
        </w:rPr>
        <w:t>BC For Prof</w:t>
      </w:r>
      <w:r>
        <w:t xml:space="preserve"> 2017:24;20–21.</w:t>
      </w:r>
    </w:p>
    <w:p w14:paraId="3063AF01" w14:textId="77777777" w:rsidR="004C2E00" w:rsidRDefault="004C2E00" w:rsidP="004C2E00">
      <w:pPr>
        <w:pStyle w:val="Bibliography"/>
      </w:pPr>
      <w:r>
        <w:t>53.</w:t>
      </w:r>
      <w:r>
        <w:tab/>
        <w:t xml:space="preserve">Peterson DW, Dodson EK. Post-fire logging produces minimal persistent impacts on understory vegetation in northeastern Oregon, USA. </w:t>
      </w:r>
      <w:r>
        <w:rPr>
          <w:i/>
          <w:iCs/>
        </w:rPr>
        <w:t>For Ecol Manag</w:t>
      </w:r>
      <w:r>
        <w:t xml:space="preserve"> 2016:370;56–64.</w:t>
      </w:r>
    </w:p>
    <w:p w14:paraId="7B3D78AD" w14:textId="77777777" w:rsidR="004C2E00" w:rsidRDefault="004C2E00" w:rsidP="004C2E00">
      <w:pPr>
        <w:pStyle w:val="Bibliography"/>
      </w:pPr>
      <w:r>
        <w:t>54.</w:t>
      </w:r>
      <w:r>
        <w:tab/>
        <w:t xml:space="preserve">Hernández-Hernández R, Castro J, Del Arco-Aguilar M, et al. Post-Fire Salvage Logging Imposes a New Disturbance that Retards Succession: The Case of Bryophyte Communities in a Macaronesian Laurel Forest. </w:t>
      </w:r>
      <w:r>
        <w:rPr>
          <w:i/>
          <w:iCs/>
        </w:rPr>
        <w:t>Forests</w:t>
      </w:r>
      <w:r>
        <w:t xml:space="preserve"> 2017:8;252.</w:t>
      </w:r>
    </w:p>
    <w:p w14:paraId="004B7159" w14:textId="77777777" w:rsidR="004C2E00" w:rsidRDefault="004C2E00" w:rsidP="004C2E00">
      <w:pPr>
        <w:pStyle w:val="Bibliography"/>
      </w:pPr>
      <w:r>
        <w:t>55.</w:t>
      </w:r>
      <w:r>
        <w:tab/>
        <w:t xml:space="preserve">Peterson DW, Dodson EK, Harrod RJ. Post-fire logging reduces surface woody fuels up to four decades following wildfire. </w:t>
      </w:r>
      <w:r>
        <w:rPr>
          <w:i/>
          <w:iCs/>
        </w:rPr>
        <w:t>For Ecol Manag</w:t>
      </w:r>
      <w:r>
        <w:t xml:space="preserve"> 2015:338;84–91.</w:t>
      </w:r>
    </w:p>
    <w:p w14:paraId="69481768" w14:textId="77777777" w:rsidR="004C2E00" w:rsidRDefault="004C2E00" w:rsidP="004C2E00">
      <w:pPr>
        <w:pStyle w:val="Bibliography"/>
      </w:pPr>
      <w:r>
        <w:t>56.</w:t>
      </w:r>
      <w:r>
        <w:tab/>
        <w:t xml:space="preserve">Thompson JR, Spies TA, Ganio LM. Reburn severity in managed and unmanaged vegetation in a large wildfire. </w:t>
      </w:r>
      <w:r>
        <w:rPr>
          <w:i/>
          <w:iCs/>
        </w:rPr>
        <w:t>Proc Natl Acad Sci</w:t>
      </w:r>
      <w:r>
        <w:t xml:space="preserve"> 2007:104;10743–10748.</w:t>
      </w:r>
    </w:p>
    <w:p w14:paraId="0DB6D3D7" w14:textId="77777777" w:rsidR="004C2E00" w:rsidRDefault="004C2E00" w:rsidP="004C2E00">
      <w:pPr>
        <w:pStyle w:val="Bibliography"/>
      </w:pPr>
      <w:r>
        <w:t>57.</w:t>
      </w:r>
      <w:r>
        <w:tab/>
        <w:t xml:space="preserve">Odion DC, Frost EJ, Strittholt JR, et al. Patterns of Fire Severity and Forest Conditions in the Western Klamath Mountains, California. </w:t>
      </w:r>
      <w:r>
        <w:rPr>
          <w:i/>
          <w:iCs/>
        </w:rPr>
        <w:t>Conserv Biol</w:t>
      </w:r>
      <w:r>
        <w:t xml:space="preserve"> 2004:18;927–936.</w:t>
      </w:r>
    </w:p>
    <w:p w14:paraId="39E9A5EA" w14:textId="721E9CD0" w:rsidR="004C2E00" w:rsidRDefault="004C2E00" w:rsidP="004C2E00">
      <w:pPr>
        <w:pStyle w:val="Bibliography"/>
      </w:pPr>
      <w:r>
        <w:t>58.</w:t>
      </w:r>
      <w:r>
        <w:tab/>
        <w:t xml:space="preserve">Bradley CM, Hanson CT, DellaSala DA. Does increased forest protection correspond to higher fire severity in frequent-fire forests of the western United States? </w:t>
      </w:r>
      <w:r>
        <w:rPr>
          <w:i/>
          <w:iCs/>
        </w:rPr>
        <w:t>Ecosphere</w:t>
      </w:r>
      <w:r>
        <w:t xml:space="preserve"> 2016:7.</w:t>
      </w:r>
    </w:p>
    <w:p w14:paraId="538ECE6F" w14:textId="77777777" w:rsidR="004C2E00" w:rsidRDefault="004C2E00" w:rsidP="004C2E00">
      <w:pPr>
        <w:pStyle w:val="Bibliography"/>
      </w:pPr>
      <w:r>
        <w:t>59.</w:t>
      </w:r>
      <w:r>
        <w:tab/>
        <w:t xml:space="preserve">Croke JC, Hairsine PB. Sediment delivery in managed forests: a review. </w:t>
      </w:r>
      <w:r>
        <w:rPr>
          <w:i/>
          <w:iCs/>
        </w:rPr>
        <w:t>Environ Rev</w:t>
      </w:r>
      <w:r>
        <w:t xml:space="preserve"> 2006:14;59–87.</w:t>
      </w:r>
    </w:p>
    <w:p w14:paraId="28925CA8" w14:textId="77777777" w:rsidR="004C2E00" w:rsidRDefault="004C2E00" w:rsidP="004C2E00">
      <w:pPr>
        <w:pStyle w:val="Bibliography"/>
      </w:pPr>
      <w:r>
        <w:t>60.</w:t>
      </w:r>
      <w:r>
        <w:tab/>
        <w:t xml:space="preserve">Reeves GH, Bisson PA, Rieman BE, et al. Postfire Logging in Riparian Areas. </w:t>
      </w:r>
      <w:r>
        <w:rPr>
          <w:i/>
          <w:iCs/>
        </w:rPr>
        <w:t>Conserv Biol</w:t>
      </w:r>
      <w:r>
        <w:t xml:space="preserve"> 2006:20;994–1004.</w:t>
      </w:r>
    </w:p>
    <w:p w14:paraId="11F954D4" w14:textId="77777777" w:rsidR="004C2E00" w:rsidRDefault="004C2E00" w:rsidP="004C2E00">
      <w:pPr>
        <w:pStyle w:val="Bibliography"/>
      </w:pPr>
      <w:r>
        <w:t>61.</w:t>
      </w:r>
      <w:r>
        <w:tab/>
        <w:t xml:space="preserve">Hebblewhite M, Munro RH, Merrill EH. Trophic consequences of postfire logging in a wolf–ungulate system. </w:t>
      </w:r>
      <w:r>
        <w:rPr>
          <w:i/>
          <w:iCs/>
        </w:rPr>
        <w:t>For Ecol Manag</w:t>
      </w:r>
      <w:r>
        <w:t xml:space="preserve"> 2009:257;1053–1062.</w:t>
      </w:r>
    </w:p>
    <w:p w14:paraId="2537FA8C" w14:textId="77777777" w:rsidR="004C2E00" w:rsidRDefault="004C2E00" w:rsidP="004C2E00">
      <w:pPr>
        <w:pStyle w:val="Bibliography"/>
      </w:pPr>
      <w:r>
        <w:t>62.</w:t>
      </w:r>
      <w:r>
        <w:tab/>
        <w:t xml:space="preserve">Dhar A, Parrott L, Hawkins CDB. Aftermath of Mountain Pine Beetle Outbreak in British Columbia: Stand Dynamics, Management Response and Ecosystem Resilience. </w:t>
      </w:r>
      <w:r>
        <w:rPr>
          <w:i/>
          <w:iCs/>
        </w:rPr>
        <w:t>Forests</w:t>
      </w:r>
      <w:r>
        <w:t xml:space="preserve"> 2016:7;171.</w:t>
      </w:r>
    </w:p>
    <w:p w14:paraId="6F9382CE" w14:textId="77777777" w:rsidR="004C2E00" w:rsidRDefault="004C2E00" w:rsidP="004C2E00">
      <w:pPr>
        <w:pStyle w:val="Bibliography"/>
      </w:pPr>
      <w:r>
        <w:t>63.</w:t>
      </w:r>
      <w:r>
        <w:tab/>
        <w:t xml:space="preserve">Seidl R, Rammer W, Spies TA. Disturbance legacies increase the resilience of forest ecosystem structure, composition, and functioning. </w:t>
      </w:r>
      <w:r>
        <w:rPr>
          <w:i/>
          <w:iCs/>
        </w:rPr>
        <w:t>Ecol Appl</w:t>
      </w:r>
      <w:r>
        <w:t xml:space="preserve"> 2014:24;2063–2077.</w:t>
      </w:r>
    </w:p>
    <w:p w14:paraId="090E10A6" w14:textId="77777777" w:rsidR="004C2E00" w:rsidRDefault="004C2E00" w:rsidP="004C2E00">
      <w:pPr>
        <w:pStyle w:val="Bibliography"/>
      </w:pPr>
      <w:r>
        <w:t>64.</w:t>
      </w:r>
      <w:r>
        <w:tab/>
        <w:t xml:space="preserve">Swanson ME, Franklin JF, Beschta RL, et al. The forgotten stage of forest succession: early-successional ecosystems on forest sites. </w:t>
      </w:r>
      <w:r>
        <w:rPr>
          <w:i/>
          <w:iCs/>
        </w:rPr>
        <w:t>Front Ecol Environ</w:t>
      </w:r>
      <w:r>
        <w:t xml:space="preserve"> 2011:9;117–125.</w:t>
      </w:r>
    </w:p>
    <w:p w14:paraId="7BA174DC" w14:textId="77777777" w:rsidR="004C2E00" w:rsidRDefault="004C2E00" w:rsidP="004C2E00">
      <w:pPr>
        <w:pStyle w:val="Bibliography"/>
      </w:pPr>
      <w:r>
        <w:t>65.</w:t>
      </w:r>
      <w:r>
        <w:tab/>
        <w:t xml:space="preserve">DellaSala DA, Bond ML, Hanson CT, et al. Complex Early Seral Forests of the Sierra Nevada: What are They and How Can They Be Managed for Ecological Integrity? </w:t>
      </w:r>
      <w:r>
        <w:rPr>
          <w:i/>
          <w:iCs/>
        </w:rPr>
        <w:t>Nat Areas J</w:t>
      </w:r>
      <w:r>
        <w:t xml:space="preserve"> 2014:34;310–324.</w:t>
      </w:r>
    </w:p>
    <w:p w14:paraId="7C0D23D7" w14:textId="77777777" w:rsidR="004C2E00" w:rsidRDefault="004C2E00" w:rsidP="004C2E00">
      <w:pPr>
        <w:pStyle w:val="Bibliography"/>
      </w:pPr>
      <w:r>
        <w:t>66.</w:t>
      </w:r>
      <w:r>
        <w:tab/>
        <w:t xml:space="preserve">Holling C s., Meffe GK. Command and Control and the Pathology of Natural Resource Management. </w:t>
      </w:r>
      <w:r>
        <w:rPr>
          <w:i/>
          <w:iCs/>
        </w:rPr>
        <w:t>Conserv Biol</w:t>
      </w:r>
      <w:r>
        <w:t xml:space="preserve"> 1996:10;328–337.</w:t>
      </w:r>
    </w:p>
    <w:p w14:paraId="1F24DC21" w14:textId="1B72D54B" w:rsidR="004C2E00" w:rsidRDefault="004C2E00" w:rsidP="004C2E00">
      <w:pPr>
        <w:pStyle w:val="Bibliography"/>
      </w:pPr>
      <w:r>
        <w:t>67.</w:t>
      </w:r>
      <w:r>
        <w:tab/>
        <w:t xml:space="preserve">Kwakkel Jan H., Walker Warren E., Haasnoot Marjolijn. Coping with the Wickedness of Public Policy Problems: Approaches for Decision Making under Deep Uncertainty. </w:t>
      </w:r>
      <w:r>
        <w:rPr>
          <w:i/>
          <w:iCs/>
        </w:rPr>
        <w:t>J Water Resour Plan Manag</w:t>
      </w:r>
      <w:r>
        <w:t xml:space="preserve"> 2016:142.</w:t>
      </w:r>
    </w:p>
    <w:p w14:paraId="641D9C8D" w14:textId="77777777" w:rsidR="004C2E00" w:rsidRDefault="004C2E00" w:rsidP="004C2E00">
      <w:pPr>
        <w:pStyle w:val="Bibliography"/>
      </w:pPr>
      <w:r>
        <w:lastRenderedPageBreak/>
        <w:t>68.</w:t>
      </w:r>
      <w:r>
        <w:tab/>
        <w:t xml:space="preserve">Lempert RJ. </w:t>
      </w:r>
      <w:r>
        <w:rPr>
          <w:i/>
          <w:iCs/>
        </w:rPr>
        <w:t>Shaping the Next One Hundred Years: New Methods for Quantitative, Long-Term Policy Analysis</w:t>
      </w:r>
      <w:r>
        <w:t>. Rand Corporation; 2003.</w:t>
      </w:r>
    </w:p>
    <w:p w14:paraId="5F0BC0C3" w14:textId="77777777" w:rsidR="004C2E00" w:rsidRDefault="004C2E00" w:rsidP="004C2E00">
      <w:pPr>
        <w:pStyle w:val="Bibliography"/>
      </w:pPr>
      <w:r>
        <w:t>69.</w:t>
      </w:r>
      <w:r>
        <w:tab/>
        <w:t xml:space="preserve">Walker WE, Harremoës P, Rotmans J, et al. Defining Uncertainty: A Conceptual Basis for Uncertainty Management in Model-Based Decision Support. </w:t>
      </w:r>
      <w:r>
        <w:rPr>
          <w:i/>
          <w:iCs/>
        </w:rPr>
        <w:t>Integr Assess</w:t>
      </w:r>
      <w:r>
        <w:t xml:space="preserve"> 2003:4;5–17.</w:t>
      </w:r>
    </w:p>
    <w:p w14:paraId="60EED620" w14:textId="77777777" w:rsidR="004C2E00" w:rsidRDefault="004C2E00" w:rsidP="004C2E00">
      <w:pPr>
        <w:pStyle w:val="Bibliography"/>
      </w:pPr>
      <w:r>
        <w:t>70.</w:t>
      </w:r>
      <w:r>
        <w:tab/>
        <w:t xml:space="preserve">Walker WE, Lempert RJ, Kwakkel JH. Deep UncertaintyIn: </w:t>
      </w:r>
      <w:r>
        <w:rPr>
          <w:i/>
          <w:iCs/>
        </w:rPr>
        <w:t>Encycl. Oper. Res. Manag. Sci.</w:t>
      </w:r>
      <w:r>
        <w:t xml:space="preserve"> pp. 395–402. Springer, Boston, MA; 2013.</w:t>
      </w:r>
    </w:p>
    <w:p w14:paraId="459968EF" w14:textId="77777777" w:rsidR="004C2E00" w:rsidRDefault="004C2E00" w:rsidP="004C2E00">
      <w:pPr>
        <w:pStyle w:val="Bibliography"/>
      </w:pPr>
      <w:r>
        <w:t>71.</w:t>
      </w:r>
      <w:r>
        <w:tab/>
        <w:t xml:space="preserve">Perrings C, Pearce D. Threshold effects and incentives for the conservation of biodiversity. </w:t>
      </w:r>
      <w:r>
        <w:rPr>
          <w:i/>
          <w:iCs/>
        </w:rPr>
        <w:t>Environ Resour Econ</w:t>
      </w:r>
      <w:r>
        <w:t xml:space="preserve"> 1994:4;13–28.</w:t>
      </w:r>
    </w:p>
    <w:p w14:paraId="295B7477" w14:textId="77777777" w:rsidR="004C2E00" w:rsidRDefault="004C2E00" w:rsidP="004C2E00">
      <w:pPr>
        <w:pStyle w:val="Bibliography"/>
      </w:pPr>
      <w:r>
        <w:t>72.</w:t>
      </w:r>
      <w:r>
        <w:tab/>
        <w:t xml:space="preserve">O’Hara KL. What is close-to-nature silviculture in a changing world? </w:t>
      </w:r>
      <w:r>
        <w:rPr>
          <w:i/>
          <w:iCs/>
        </w:rPr>
        <w:t>For Int J For Res</w:t>
      </w:r>
      <w:r>
        <w:t xml:space="preserve"> 2016:89;1–6.</w:t>
      </w:r>
    </w:p>
    <w:p w14:paraId="348FB254" w14:textId="1F6D704B" w:rsidR="004C2E00" w:rsidRDefault="004C2E00" w:rsidP="004C2E00">
      <w:pPr>
        <w:pStyle w:val="Bibliography"/>
      </w:pPr>
      <w:r>
        <w:t>73.</w:t>
      </w:r>
      <w:r>
        <w:tab/>
        <w:t xml:space="preserve">Lindenmayer D, Thorn S, Banks S. Please do not disturb ecosystems further. </w:t>
      </w:r>
      <w:r>
        <w:rPr>
          <w:i/>
          <w:iCs/>
        </w:rPr>
        <w:t>Nat Ecol Evol</w:t>
      </w:r>
      <w:r>
        <w:t xml:space="preserve"> 2017:1.</w:t>
      </w:r>
    </w:p>
    <w:p w14:paraId="7A93FEFD" w14:textId="07B903BB" w:rsidR="00ED6A51" w:rsidRPr="00E41584" w:rsidRDefault="00B34184" w:rsidP="001C4256">
      <w:r>
        <w:fldChar w:fldCharType="end"/>
      </w:r>
    </w:p>
    <w:sectPr w:rsidR="00ED6A51" w:rsidRPr="00E41584" w:rsidSect="004B6A63">
      <w:footnotePr>
        <w:numFmt w:val="lowerRoman"/>
      </w:footnotePr>
      <w:pgSz w:w="12240" w:h="15840"/>
      <w:pgMar w:top="1440" w:right="1440" w:bottom="1440" w:left="1440" w:header="720" w:footer="720" w:gutter="0"/>
      <w:pgNumType w:start="1"/>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33952EF" w15:done="0"/>
  <w15:commentEx w15:paraId="09D1F358" w15:done="0"/>
  <w15:commentEx w15:paraId="79EC7E2D" w15:done="0"/>
  <w15:commentEx w15:paraId="218D6496" w15:paraIdParent="79EC7E2D" w15:done="0"/>
  <w15:commentEx w15:paraId="52A79CF4" w15:done="0"/>
  <w15:commentEx w15:paraId="12350908" w15:paraIdParent="52A79CF4" w15:done="0"/>
  <w15:commentEx w15:paraId="329FC480" w15:done="0"/>
  <w15:commentEx w15:paraId="03B55BFA" w15:paraIdParent="329FC480"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2080378" w14:textId="77777777" w:rsidR="00085CDB" w:rsidRDefault="00085CDB" w:rsidP="00FD5B90">
      <w:pPr>
        <w:spacing w:after="0" w:line="240" w:lineRule="auto"/>
      </w:pPr>
      <w:r>
        <w:separator/>
      </w:r>
    </w:p>
  </w:endnote>
  <w:endnote w:type="continuationSeparator" w:id="0">
    <w:p w14:paraId="666AC746" w14:textId="77777777" w:rsidR="00085CDB" w:rsidRDefault="00085CDB" w:rsidP="00FD5B90">
      <w:pPr>
        <w:spacing w:after="0" w:line="240" w:lineRule="auto"/>
      </w:pPr>
      <w:r>
        <w:continuationSeparator/>
      </w:r>
    </w:p>
  </w:endnote>
  <w:endnote w:type="continuationNotice" w:id="1">
    <w:p w14:paraId="231A2D46" w14:textId="77777777" w:rsidR="00085CDB" w:rsidRDefault="00085C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Times-Roman">
    <w:panose1 w:val="00000000000000000000"/>
    <w:charset w:val="00"/>
    <w:family w:val="auto"/>
    <w:notTrueType/>
    <w:pitch w:val="default"/>
    <w:sig w:usb0="000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D3C620" w14:textId="005E53DA" w:rsidR="00742B64" w:rsidRDefault="00742B64">
    <w:pPr>
      <w:pStyle w:val="Footer"/>
      <w:jc w:val="right"/>
    </w:pPr>
  </w:p>
  <w:p w14:paraId="2ECCA618" w14:textId="77777777" w:rsidR="00742B64" w:rsidRDefault="00742B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0811077"/>
      <w:docPartObj>
        <w:docPartGallery w:val="Page Numbers (Bottom of Page)"/>
        <w:docPartUnique/>
      </w:docPartObj>
    </w:sdtPr>
    <w:sdtEndPr>
      <w:rPr>
        <w:noProof/>
      </w:rPr>
    </w:sdtEndPr>
    <w:sdtContent>
      <w:p w14:paraId="5F4FFD30" w14:textId="1B1E4C68" w:rsidR="00742B64" w:rsidRDefault="00742B64" w:rsidP="00E415FE">
        <w:pPr>
          <w:pStyle w:val="Footer"/>
          <w:jc w:val="right"/>
        </w:pPr>
        <w:r>
          <w:fldChar w:fldCharType="begin"/>
        </w:r>
        <w:r>
          <w:instrText xml:space="preserve"> PAGE   \* MERGEFORMAT </w:instrText>
        </w:r>
        <w:r>
          <w:fldChar w:fldCharType="separate"/>
        </w:r>
        <w:r w:rsidR="00B44377">
          <w:rPr>
            <w:noProof/>
          </w:rPr>
          <w:t>5</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14804B" w14:textId="77777777" w:rsidR="00085CDB" w:rsidRDefault="00085CDB" w:rsidP="00FD5B90">
      <w:pPr>
        <w:spacing w:after="0" w:line="240" w:lineRule="auto"/>
      </w:pPr>
      <w:r>
        <w:separator/>
      </w:r>
    </w:p>
  </w:footnote>
  <w:footnote w:type="continuationSeparator" w:id="0">
    <w:p w14:paraId="31697700" w14:textId="77777777" w:rsidR="00085CDB" w:rsidRDefault="00085CDB" w:rsidP="00FD5B90">
      <w:pPr>
        <w:spacing w:after="0" w:line="240" w:lineRule="auto"/>
      </w:pPr>
      <w:r>
        <w:continuationSeparator/>
      </w:r>
    </w:p>
  </w:footnote>
  <w:footnote w:type="continuationNotice" w:id="1">
    <w:p w14:paraId="475E5D4C" w14:textId="77777777" w:rsidR="00085CDB" w:rsidRDefault="00085CDB">
      <w:pPr>
        <w:spacing w:after="0" w:line="240" w:lineRule="auto"/>
      </w:pPr>
    </w:p>
  </w:footnote>
  <w:footnote w:id="2">
    <w:p w14:paraId="2BC0F6FD" w14:textId="77777777" w:rsidR="00742B64" w:rsidRDefault="00742B64" w:rsidP="00EC66DE">
      <w:pPr>
        <w:pStyle w:val="FootnoteText"/>
      </w:pPr>
      <w:r>
        <w:rPr>
          <w:rStyle w:val="FootnoteReference"/>
        </w:rPr>
        <w:footnoteRef/>
      </w:r>
      <w:r>
        <w:t xml:space="preserve"> “</w:t>
      </w:r>
      <w:proofErr w:type="gramStart"/>
      <w:r>
        <w:t>forest</w:t>
      </w:r>
      <w:proofErr w:type="gramEnd"/>
      <w:r>
        <w:t xml:space="preserve"> region” refers to Ministry of Forests, Lands, Natural Resource Operations and Rural Development regions.</w:t>
      </w:r>
    </w:p>
  </w:footnote>
  <w:footnote w:id="3">
    <w:p w14:paraId="6571C20E" w14:textId="4AFE69ED" w:rsidR="00742B64" w:rsidRDefault="00742B64" w:rsidP="004B6A63">
      <w:pPr>
        <w:pStyle w:val="FootnoteText"/>
      </w:pPr>
      <w:r>
        <w:rPr>
          <w:rStyle w:val="FootnoteReference"/>
        </w:rPr>
        <w:footnoteRef/>
      </w:r>
      <w:r>
        <w:t xml:space="preserve"> Further advice is available from the Resource Management Objectives Branch of the Ministry of Forests, Lands, Natural Resource Operations and Rural Development (FLNR).</w:t>
      </w:r>
    </w:p>
  </w:footnote>
  <w:footnote w:id="4">
    <w:p w14:paraId="56DD3164" w14:textId="77777777" w:rsidR="00742B64" w:rsidRDefault="00742B64" w:rsidP="004634AE">
      <w:pPr>
        <w:pStyle w:val="FootnoteText"/>
      </w:pPr>
      <w:r>
        <w:rPr>
          <w:rStyle w:val="FootnoteReference"/>
        </w:rPr>
        <w:footnoteRef/>
      </w:r>
      <w:r>
        <w:t xml:space="preserve"> </w:t>
      </w:r>
      <w:hyperlink r:id="rId1" w:history="1">
        <w:r w:rsidRPr="00F22255">
          <w:rPr>
            <w:rStyle w:val="Hyperlink"/>
          </w:rPr>
          <w:t>https://www.for.gov.bc.ca/tasb/legsregs/fpc/FPCGUIDE/wap/WAPGdbk-Web.pdf</w:t>
        </w:r>
      </w:hyperlink>
    </w:p>
  </w:footnote>
  <w:footnote w:id="5">
    <w:p w14:paraId="32BEFB76" w14:textId="566CF1B0" w:rsidR="00742B64" w:rsidRDefault="00742B64" w:rsidP="00AA5305">
      <w:pPr>
        <w:pStyle w:val="FootnoteText"/>
      </w:pPr>
      <w:r>
        <w:rPr>
          <w:rStyle w:val="FootnoteReference"/>
        </w:rPr>
        <w:footnoteRef/>
      </w:r>
      <w:r>
        <w:t xml:space="preserve"> More</w:t>
      </w:r>
      <w:r w:rsidRPr="00BE4C62">
        <w:t xml:space="preserve"> specific </w:t>
      </w:r>
      <w:r>
        <w:t xml:space="preserve">and detailed guidance for designing in-block and among block retention is available from </w:t>
      </w:r>
      <w:r w:rsidRPr="00235BEA">
        <w:t>Resource Practices Branch</w:t>
      </w:r>
      <w:r>
        <w:t>, FLNR.</w:t>
      </w:r>
    </w:p>
  </w:footnote>
  <w:footnote w:id="6">
    <w:p w14:paraId="5889B12E" w14:textId="4D6F201F" w:rsidR="00742B64" w:rsidRDefault="00742B64">
      <w:pPr>
        <w:pStyle w:val="FootnoteText"/>
      </w:pPr>
      <w:r>
        <w:rPr>
          <w:rStyle w:val="FootnoteReference"/>
        </w:rPr>
        <w:footnoteRef/>
      </w:r>
      <w:r>
        <w:t xml:space="preserve"> </w:t>
      </w:r>
      <w:r w:rsidRPr="003830ED">
        <w:t>Hope G, Jordan P, Winkler R, et al. Post-wildfire natural hazards risk analysis in British Columbia. Victoria BC: MFLNRO; 2015</w:t>
      </w:r>
    </w:p>
  </w:footnote>
  <w:footnote w:id="7">
    <w:p w14:paraId="1DCE9822" w14:textId="50385BA4" w:rsidR="00742B64" w:rsidRDefault="00742B64">
      <w:pPr>
        <w:pStyle w:val="FootnoteText"/>
      </w:pPr>
      <w:r>
        <w:rPr>
          <w:rStyle w:val="FootnoteReference"/>
        </w:rPr>
        <w:footnoteRef/>
      </w:r>
      <w:r>
        <w:t xml:space="preserve"> </w:t>
      </w:r>
      <w:proofErr w:type="gramStart"/>
      <w:r w:rsidRPr="003830ED">
        <w:t>Mule Deer Winter Range Strategy Committee.</w:t>
      </w:r>
      <w:proofErr w:type="gramEnd"/>
      <w:r w:rsidRPr="003830ED">
        <w:t xml:space="preserve"> </w:t>
      </w:r>
      <w:proofErr w:type="gramStart"/>
      <w:r w:rsidRPr="003830ED">
        <w:t>Regional Mule Deer Winter Range Strategy.</w:t>
      </w:r>
      <w:proofErr w:type="gramEnd"/>
      <w:r w:rsidRPr="003830ED">
        <w:t xml:space="preserve"> </w:t>
      </w:r>
      <w:proofErr w:type="gramStart"/>
      <w:r w:rsidRPr="003830ED">
        <w:t>Williams Lake, BC; 2014.</w:t>
      </w:r>
      <w:proofErr w:type="gramEnd"/>
    </w:p>
  </w:footnote>
  <w:footnote w:id="8">
    <w:p w14:paraId="20076B3D" w14:textId="4F8E6CF5" w:rsidR="00742B64" w:rsidRDefault="00742B64" w:rsidP="001B53C4">
      <w:pPr>
        <w:pStyle w:val="FootnoteText"/>
      </w:pPr>
      <w:r>
        <w:rPr>
          <w:rStyle w:val="FootnoteReference"/>
        </w:rPr>
        <w:footnoteRef/>
      </w:r>
      <w:r>
        <w:t xml:space="preserve"> </w:t>
      </w:r>
      <w:r w:rsidRPr="00235BEA">
        <w:t xml:space="preserve">Specific guidance about planning for salvage harvesting in Scenic Areas with established VQOs </w:t>
      </w:r>
      <w:r>
        <w:t>may</w:t>
      </w:r>
      <w:r w:rsidRPr="00235BEA">
        <w:t xml:space="preserve"> be obtained from Resource Practices Branch</w:t>
      </w:r>
      <w:r>
        <w:t>, FLNR</w:t>
      </w:r>
      <w:r w:rsidRPr="00235BEA">
        <w:t>.</w:t>
      </w:r>
    </w:p>
  </w:footnote>
  <w:footnote w:id="9">
    <w:p w14:paraId="6B4C9BDA" w14:textId="480482C6" w:rsidR="00742B64" w:rsidRDefault="00742B64">
      <w:pPr>
        <w:pStyle w:val="FootnoteText"/>
      </w:pPr>
      <w:r>
        <w:rPr>
          <w:rStyle w:val="FootnoteReference"/>
        </w:rPr>
        <w:footnoteRef/>
      </w:r>
      <w:r>
        <w:t xml:space="preserve"> For example </w:t>
      </w:r>
      <w:hyperlink r:id="rId2" w:history="1">
        <w:r w:rsidRPr="00607A0C">
          <w:rPr>
            <w:rStyle w:val="Hyperlink"/>
          </w:rPr>
          <w:t>https://www.for.gov.bc.ca/tasb/slrp/policies-guides/old-growth/Old_Growth_Order_May18th_FINAL.pdf</w:t>
        </w:r>
      </w:hyperlink>
      <w:r>
        <w:t xml:space="preserve"> </w:t>
      </w:r>
    </w:p>
  </w:footnote>
  <w:footnote w:id="10">
    <w:p w14:paraId="6B40FE34" w14:textId="0AE06C54" w:rsidR="00742B64" w:rsidRDefault="00742B64" w:rsidP="009D2B41">
      <w:pPr>
        <w:pStyle w:val="FootnoteText"/>
      </w:pPr>
      <w:r>
        <w:rPr>
          <w:rStyle w:val="FootnoteReference"/>
        </w:rPr>
        <w:footnoteRef/>
      </w:r>
      <w:r>
        <w:t xml:space="preserve"> </w:t>
      </w:r>
      <w:r w:rsidRPr="00235BEA">
        <w:t xml:space="preserve">Specific guidance about planning for </w:t>
      </w:r>
      <w:r>
        <w:t xml:space="preserve">retention and </w:t>
      </w:r>
      <w:r w:rsidRPr="00235BEA">
        <w:t xml:space="preserve">salvage harvesting in </w:t>
      </w:r>
      <w:r>
        <w:t>OGMAs</w:t>
      </w:r>
      <w:r w:rsidRPr="00235BEA">
        <w:t xml:space="preserve"> </w:t>
      </w:r>
      <w:r>
        <w:t>may</w:t>
      </w:r>
      <w:r w:rsidRPr="00235BEA">
        <w:t xml:space="preserve"> be obtained from </w:t>
      </w:r>
      <w:r>
        <w:t>Resource Management Objectives Branch, FLNR</w:t>
      </w:r>
      <w:r w:rsidRPr="00235BEA">
        <w:t>.</w:t>
      </w:r>
    </w:p>
  </w:footnote>
  <w:footnote w:id="11">
    <w:p w14:paraId="157DD909" w14:textId="10CB67D1" w:rsidR="00742B64" w:rsidRDefault="00742B64" w:rsidP="00416827">
      <w:pPr>
        <w:pStyle w:val="FootnoteText"/>
      </w:pPr>
      <w:r>
        <w:rPr>
          <w:rStyle w:val="FootnoteReference"/>
        </w:rPr>
        <w:footnoteRef/>
      </w:r>
      <w:r>
        <w:t xml:space="preserve"> Relevant guidance can be found in the BEC field guides </w:t>
      </w:r>
      <w:hyperlink r:id="rId3" w:history="1">
        <w:r w:rsidRPr="007131EF">
          <w:rPr>
            <w:rStyle w:val="Hyperlink"/>
          </w:rPr>
          <w:t>https://www.for.gov.bc.ca/hre/becweb/</w:t>
        </w:r>
      </w:hyperlink>
      <w:r>
        <w:t xml:space="preserve"> </w:t>
      </w:r>
    </w:p>
  </w:footnote>
  <w:footnote w:id="12">
    <w:p w14:paraId="117A348E" w14:textId="4575CE35" w:rsidR="00742B64" w:rsidRDefault="00742B64" w:rsidP="00787C48">
      <w:pPr>
        <w:pStyle w:val="FootnoteText"/>
      </w:pPr>
      <w:r>
        <w:rPr>
          <w:rStyle w:val="FootnoteReference"/>
        </w:rPr>
        <w:footnoteRef/>
      </w:r>
      <w:r>
        <w:t xml:space="preserve"> </w:t>
      </w:r>
      <w:r w:rsidRPr="00235BEA">
        <w:t xml:space="preserve">Specific guidance about planning for </w:t>
      </w:r>
      <w:r>
        <w:t xml:space="preserve">direct control of DFB outbreaks can be obtained </w:t>
      </w:r>
      <w:r w:rsidRPr="00235BEA">
        <w:t>from Resource Practices Branch</w:t>
      </w:r>
      <w:r>
        <w:t xml:space="preserve"> and/or South Area Regional Operations Division, FLNR.</w:t>
      </w:r>
    </w:p>
  </w:footnote>
  <w:footnote w:id="13">
    <w:p w14:paraId="2E1D193F" w14:textId="277AAC6D" w:rsidR="00742B64" w:rsidRDefault="00742B64">
      <w:pPr>
        <w:pStyle w:val="FootnoteText"/>
      </w:pPr>
      <w:r>
        <w:rPr>
          <w:rStyle w:val="FootnoteReference"/>
        </w:rPr>
        <w:footnoteRef/>
      </w:r>
      <w:r>
        <w:t xml:space="preserve"> </w:t>
      </w:r>
      <w:r w:rsidRPr="003830ED">
        <w:t>Hope G, Jordan P, Winkler R, et al. Post-wildfire natural hazards risk analysis in British Columbia. Victoria BC: MFLNRO; 2015.</w:t>
      </w:r>
    </w:p>
  </w:footnote>
  <w:footnote w:id="14">
    <w:p w14:paraId="61F2C218" w14:textId="2E73FD88" w:rsidR="00742B64" w:rsidRDefault="00742B64">
      <w:pPr>
        <w:pStyle w:val="FootnoteText"/>
      </w:pPr>
      <w:r>
        <w:rPr>
          <w:rStyle w:val="FootnoteReference"/>
        </w:rPr>
        <w:footnoteRef/>
      </w:r>
      <w:r>
        <w:t xml:space="preserve"> </w:t>
      </w:r>
      <w:proofErr w:type="gramStart"/>
      <w:r w:rsidRPr="003830ED">
        <w:t>B.C. Ministry of Forests.</w:t>
      </w:r>
      <w:proofErr w:type="gramEnd"/>
      <w:r w:rsidRPr="003830ED">
        <w:t xml:space="preserve"> Hazard assessment keys for evaluating site sensitivity to soil degrading processes guidebook. Victoria BC: Forest Practices Branch, BC Ministry of Forests; 1999.</w:t>
      </w:r>
    </w:p>
  </w:footnote>
  <w:footnote w:id="15">
    <w:p w14:paraId="1AC7A5CC" w14:textId="342607CD" w:rsidR="00742B64" w:rsidRDefault="00742B64">
      <w:pPr>
        <w:pStyle w:val="FootnoteText"/>
      </w:pPr>
      <w:r>
        <w:rPr>
          <w:rStyle w:val="FootnoteReference"/>
        </w:rPr>
        <w:footnoteRef/>
      </w:r>
      <w:r>
        <w:t xml:space="preserve"> </w:t>
      </w:r>
      <w:proofErr w:type="spellStart"/>
      <w:r w:rsidRPr="003830ED">
        <w:t>Berch</w:t>
      </w:r>
      <w:proofErr w:type="spellEnd"/>
      <w:r w:rsidRPr="003830ED">
        <w:t xml:space="preserve"> S, </w:t>
      </w:r>
      <w:proofErr w:type="spellStart"/>
      <w:r w:rsidRPr="003830ED">
        <w:t>Dube</w:t>
      </w:r>
      <w:proofErr w:type="spellEnd"/>
      <w:r w:rsidRPr="003830ED">
        <w:t xml:space="preserve"> S, Hope G. Best management practices for soil conservation in mountain pine beetle </w:t>
      </w:r>
      <w:proofErr w:type="gramStart"/>
      <w:r w:rsidRPr="003830ED">
        <w:t>salvage</w:t>
      </w:r>
      <w:proofErr w:type="gramEnd"/>
      <w:r w:rsidRPr="003830ED">
        <w:t xml:space="preserve"> operations. Victoria BC: Ministry of Forests and Range Forest Science Program; 2009.</w:t>
      </w:r>
    </w:p>
  </w:footnote>
  <w:footnote w:id="16">
    <w:p w14:paraId="4FC42950" w14:textId="265E1274" w:rsidR="00742B64" w:rsidRDefault="00742B64" w:rsidP="00E2725D">
      <w:pPr>
        <w:pStyle w:val="FootnoteText"/>
      </w:pPr>
      <w:r>
        <w:rPr>
          <w:rStyle w:val="FootnoteReference"/>
        </w:rPr>
        <w:footnoteRef/>
      </w:r>
      <w:r>
        <w:t xml:space="preserve"> </w:t>
      </w:r>
      <w:hyperlink r:id="rId4" w:history="1">
        <w:r w:rsidRPr="00723574">
          <w:rPr>
            <w:rStyle w:val="Hyperlink"/>
          </w:rPr>
          <w:t>https://www2.gov.bc.ca/gov/content/environment/natural-resource-stewardship/land-based-investment/forests-for-tomorrow</w:t>
        </w:r>
      </w:hyperlink>
      <w:r>
        <w:t xml:space="preserve"> </w:t>
      </w:r>
      <w:r w:rsidRPr="00361B35">
        <w:t>see specifically</w:t>
      </w:r>
      <w:r>
        <w:t xml:space="preserve"> </w:t>
      </w:r>
      <w:hyperlink r:id="rId5" w:history="1">
        <w:r w:rsidRPr="00723574">
          <w:rPr>
            <w:rStyle w:val="Hyperlink"/>
          </w:rPr>
          <w:t>https://www2.gov.bc.ca/assets/gov/environment/natural-resource-stewardship/land-based-investment/forests-for-tomorrow/5postwildfireassessmentoverviewjan23.pdf</w:t>
        </w:r>
      </w:hyperlink>
      <w:r>
        <w:t xml:space="preserve"> </w:t>
      </w:r>
    </w:p>
  </w:footnote>
  <w:footnote w:id="17">
    <w:p w14:paraId="3371B250" w14:textId="77777777" w:rsidR="00742B64" w:rsidRDefault="00742B64" w:rsidP="00E2725D">
      <w:pPr>
        <w:pStyle w:val="FootnoteText"/>
      </w:pPr>
      <w:r>
        <w:rPr>
          <w:rStyle w:val="FootnoteReference"/>
        </w:rPr>
        <w:footnoteRef/>
      </w:r>
      <w:r>
        <w:t xml:space="preserve"> </w:t>
      </w:r>
      <w:hyperlink r:id="rId6" w:history="1">
        <w:r w:rsidRPr="00723574">
          <w:rPr>
            <w:rStyle w:val="Hyperlink"/>
          </w:rPr>
          <w:t>https://www2.gov.bc.ca/gov/content/environment/natural-resource-stewardship/land-based-investment/forests-for-tomorrow/forest-and-range-practices-act-frpa-section-108</w:t>
        </w:r>
      </w:hyperlink>
      <w:r>
        <w:t xml:space="preserve"> </w:t>
      </w:r>
    </w:p>
  </w:footnote>
  <w:footnote w:id="18">
    <w:p w14:paraId="2BD26F25" w14:textId="77777777" w:rsidR="00742B64" w:rsidRDefault="00742B64" w:rsidP="00E2725D">
      <w:pPr>
        <w:pStyle w:val="FootnoteText"/>
      </w:pPr>
      <w:r>
        <w:rPr>
          <w:rStyle w:val="FootnoteReference"/>
        </w:rPr>
        <w:footnoteRef/>
      </w:r>
      <w:r>
        <w:t xml:space="preserve"> </w:t>
      </w:r>
      <w:hyperlink r:id="rId7" w:history="1">
        <w:r w:rsidRPr="00723574">
          <w:rPr>
            <w:rStyle w:val="Hyperlink"/>
          </w:rPr>
          <w:t>http://www.fesbc.ca/index.html</w:t>
        </w:r>
      </w:hyperlink>
      <w:r>
        <w:t xml:space="preserve"> </w:t>
      </w:r>
    </w:p>
  </w:footnote>
  <w:footnote w:id="19">
    <w:p w14:paraId="42FEAE3D" w14:textId="77777777" w:rsidR="00742B64" w:rsidRDefault="00742B64" w:rsidP="00E2725D">
      <w:pPr>
        <w:pStyle w:val="FootnoteText"/>
      </w:pPr>
      <w:r>
        <w:rPr>
          <w:rStyle w:val="FootnoteReference"/>
        </w:rPr>
        <w:footnoteRef/>
      </w:r>
      <w:r>
        <w:t xml:space="preserve"> </w:t>
      </w:r>
      <w:hyperlink r:id="rId8" w:history="1">
        <w:r w:rsidRPr="00723574">
          <w:rPr>
            <w:rStyle w:val="Hyperlink"/>
          </w:rPr>
          <w:t>https://climate.gov.bc.ca/feature/restoring-forests/</w:t>
        </w:r>
      </w:hyperlink>
      <w:r>
        <w:t xml:space="preserve"> </w:t>
      </w:r>
    </w:p>
  </w:footnote>
  <w:footnote w:id="20">
    <w:p w14:paraId="0494EF5E" w14:textId="77777777" w:rsidR="00742B64" w:rsidRDefault="00742B64" w:rsidP="009D2B41">
      <w:pPr>
        <w:pStyle w:val="FootnoteText"/>
      </w:pPr>
      <w:r>
        <w:rPr>
          <w:rStyle w:val="FootnoteReference"/>
        </w:rPr>
        <w:footnoteRef/>
      </w:r>
      <w:r>
        <w:t xml:space="preserve"> </w:t>
      </w:r>
      <w:hyperlink r:id="rId9" w:history="1">
        <w:r w:rsidRPr="00723574">
          <w:rPr>
            <w:rStyle w:val="Hyperlink"/>
          </w:rPr>
          <w:t>https://www.for.gov.bc.ca/tasb/slrp/pdf/LRMP/Update%2014%20March%2015.pdf</w:t>
        </w:r>
      </w:hyperlink>
      <w:r>
        <w:t xml:space="preserve"> </w:t>
      </w:r>
    </w:p>
  </w:footnote>
  <w:footnote w:id="21">
    <w:p w14:paraId="60AF94AE" w14:textId="77777777" w:rsidR="00742B64" w:rsidRDefault="00742B64" w:rsidP="009D2B41">
      <w:pPr>
        <w:pStyle w:val="FootnoteText"/>
      </w:pPr>
      <w:r>
        <w:rPr>
          <w:rStyle w:val="FootnoteReference"/>
        </w:rPr>
        <w:footnoteRef/>
      </w:r>
      <w:hyperlink r:id="rId10" w:history="1">
        <w:r w:rsidRPr="00723574">
          <w:rPr>
            <w:rStyle w:val="Hyperlink"/>
          </w:rPr>
          <w:t>https://www.for.gov.bc.ca/tasb/slrp/lrmp/williamslake/cariboo_chilcotin/plan/biodiv/2014_June_Final_Information_Note1.pdf</w:t>
        </w:r>
      </w:hyperlink>
      <w:r>
        <w:t xml:space="preserve"> </w:t>
      </w:r>
    </w:p>
  </w:footnote>
  <w:footnote w:id="22">
    <w:p w14:paraId="4AE7C581" w14:textId="77777777" w:rsidR="00742B64" w:rsidRDefault="00742B64" w:rsidP="009D2B41">
      <w:pPr>
        <w:pStyle w:val="FootnoteText"/>
      </w:pPr>
      <w:r>
        <w:rPr>
          <w:rStyle w:val="FootnoteReference"/>
        </w:rPr>
        <w:footnoteRef/>
      </w:r>
      <w:r>
        <w:t xml:space="preserve"> </w:t>
      </w:r>
      <w:hyperlink r:id="rId11" w:history="1">
        <w:r w:rsidRPr="00723574">
          <w:rPr>
            <w:rStyle w:val="Hyperlink"/>
          </w:rPr>
          <w:t>https://www.for.gov.bc.ca/hfd/library/fia/2004/FIA-04-05-0086a.pdf</w:t>
        </w:r>
      </w:hyperlink>
      <w:r>
        <w:t xml:space="preserve"> </w:t>
      </w:r>
    </w:p>
  </w:footnote>
  <w:footnote w:id="23">
    <w:p w14:paraId="3890CE17" w14:textId="77777777" w:rsidR="00742B64" w:rsidRDefault="00742B64" w:rsidP="009D2B41">
      <w:pPr>
        <w:pStyle w:val="FootnoteText"/>
      </w:pPr>
      <w:r>
        <w:rPr>
          <w:rStyle w:val="FootnoteReference"/>
        </w:rPr>
        <w:footnoteRef/>
      </w:r>
      <w:r>
        <w:t xml:space="preserve"> </w:t>
      </w:r>
      <w:hyperlink r:id="rId12" w:history="1">
        <w:r w:rsidRPr="00723574">
          <w:rPr>
            <w:rStyle w:val="Hyperlink"/>
          </w:rPr>
          <w:t>https://www2.gov.bc.ca/assets/gov/farming-natural-resources-and-industry/forestry/forest-health/bark-beetles/retentionguidance_spruce_beetle_20sept2017.pdf</w:t>
        </w:r>
      </w:hyperlink>
      <w:r>
        <w:t xml:space="preserve"> </w:t>
      </w:r>
    </w:p>
  </w:footnote>
  <w:footnote w:id="24">
    <w:p w14:paraId="263F153C" w14:textId="77777777" w:rsidR="00742B64" w:rsidRDefault="00742B64" w:rsidP="009D2B41">
      <w:pPr>
        <w:pStyle w:val="FootnoteText"/>
      </w:pPr>
      <w:r>
        <w:rPr>
          <w:rStyle w:val="FootnoteReference"/>
        </w:rPr>
        <w:footnoteRef/>
      </w:r>
      <w:r>
        <w:t xml:space="preserve"> </w:t>
      </w:r>
      <w:hyperlink r:id="rId13" w:history="1">
        <w:r w:rsidRPr="00723574">
          <w:rPr>
            <w:rStyle w:val="Hyperlink"/>
          </w:rPr>
          <w:t>https://www.for.gov.bc.ca/hfd/library/documents/bib95960.pdf</w:t>
        </w:r>
      </w:hyperlink>
      <w:r>
        <w:t xml:space="preserve"> </w:t>
      </w:r>
    </w:p>
  </w:footnote>
  <w:footnote w:id="25">
    <w:p w14:paraId="5D1E6035" w14:textId="77777777" w:rsidR="00742B64" w:rsidRDefault="00742B64" w:rsidP="009D2B41">
      <w:pPr>
        <w:pStyle w:val="FootnoteText"/>
      </w:pPr>
      <w:r>
        <w:rPr>
          <w:rStyle w:val="FootnoteReference"/>
        </w:rPr>
        <w:footnoteRef/>
      </w:r>
      <w:r>
        <w:t xml:space="preserve"> </w:t>
      </w:r>
      <w:hyperlink r:id="rId14" w:history="1">
        <w:r w:rsidRPr="00723574">
          <w:rPr>
            <w:rStyle w:val="Hyperlink"/>
          </w:rPr>
          <w:t>https://www.for.gov.bc.ca/hfd/pubs/docs/En/En91.pdf</w:t>
        </w:r>
      </w:hyperlink>
      <w:r>
        <w:t xml:space="preserve"> </w:t>
      </w:r>
    </w:p>
  </w:footnote>
  <w:footnote w:id="26">
    <w:p w14:paraId="27D738B4" w14:textId="1FB0A329" w:rsidR="00742B64" w:rsidRPr="00720BB9" w:rsidRDefault="00742B64">
      <w:pPr>
        <w:pStyle w:val="FootnoteText"/>
        <w:rPr>
          <w:lang w:val="en-CA"/>
        </w:rPr>
      </w:pPr>
      <w:r>
        <w:rPr>
          <w:rStyle w:val="FootnoteReference"/>
        </w:rPr>
        <w:footnoteRef/>
      </w:r>
      <w:r>
        <w:t xml:space="preserve"> </w:t>
      </w:r>
      <w:r>
        <w:rPr>
          <w:lang w:val="en-CA"/>
        </w:rPr>
        <w:t>The percentage of burn severity estimate mapping complete as of January 12, 2018.</w:t>
      </w:r>
    </w:p>
  </w:footnote>
  <w:footnote w:id="27">
    <w:p w14:paraId="123125E3" w14:textId="47D7F267" w:rsidR="00742B64" w:rsidRDefault="00742B64">
      <w:pPr>
        <w:pStyle w:val="FootnoteText"/>
      </w:pPr>
      <w:r>
        <w:rPr>
          <w:rStyle w:val="FootnoteReference"/>
        </w:rPr>
        <w:footnoteRef/>
      </w:r>
      <w:r>
        <w:t xml:space="preserve"> </w:t>
      </w:r>
      <w:proofErr w:type="gramStart"/>
      <w:r w:rsidRPr="00576736">
        <w:t xml:space="preserve">Kootenay-Boundary </w:t>
      </w:r>
      <w:r>
        <w:t xml:space="preserve">and </w:t>
      </w:r>
      <w:r w:rsidRPr="00576736">
        <w:t>Thompson-Okanagan</w:t>
      </w:r>
      <w:r>
        <w:t xml:space="preserve"> regions.</w:t>
      </w:r>
      <w:proofErr w:type="gramEnd"/>
    </w:p>
  </w:footnote>
  <w:footnote w:id="28">
    <w:p w14:paraId="4E1B224B" w14:textId="6F2E3574" w:rsidR="00742B64" w:rsidRDefault="00742B64">
      <w:pPr>
        <w:pStyle w:val="FootnoteText"/>
      </w:pPr>
      <w:r>
        <w:rPr>
          <w:rStyle w:val="FootnoteReference"/>
        </w:rPr>
        <w:footnoteRef/>
      </w:r>
      <w:r>
        <w:t xml:space="preserve"> S</w:t>
      </w:r>
      <w:r w:rsidRPr="00576736">
        <w:t>patial OGMAs referenced in FSPs but not legally designated by government</w:t>
      </w:r>
      <w:r>
        <w:t xml:space="preserve"> under a Land Use Objectives Regulation order.</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DCCFE" w14:textId="167C2945" w:rsidR="00742B64" w:rsidRPr="00E415FE" w:rsidRDefault="00742B64" w:rsidP="002C6909">
    <w:pPr>
      <w:pStyle w:val="Header"/>
      <w:rPr>
        <w:b/>
        <w:i/>
        <w:color w:val="808080" w:themeColor="background1" w:themeShade="80"/>
        <w:sz w:val="18"/>
        <w:szCs w:val="18"/>
        <w:u w:val="single"/>
      </w:rPr>
    </w:pPr>
    <w:r w:rsidRPr="002C6909">
      <w:rPr>
        <w:i/>
      </w:rPr>
      <w:t>Post</w:t>
    </w:r>
    <w:r>
      <w:rPr>
        <w:i/>
      </w:rPr>
      <w:t>-</w:t>
    </w:r>
    <w:r w:rsidRPr="002C6909">
      <w:rPr>
        <w:i/>
      </w:rPr>
      <w:t>Natural Disaster Forest Retention Guidance</w:t>
    </w:r>
    <w:r>
      <w:rPr>
        <w:i/>
      </w:rPr>
      <w:t>:</w:t>
    </w:r>
    <w:r w:rsidRPr="002C6909">
      <w:rPr>
        <w:i/>
      </w:rPr>
      <w:t xml:space="preserve"> 2017 Wildfires</w:t>
    </w:r>
    <w:r w:rsidRPr="00E415FE">
      <w:rPr>
        <w:i/>
      </w:rPr>
      <w:t xml:space="preserve">           </w:t>
    </w:r>
    <w:r>
      <w:rPr>
        <w:i/>
      </w:rPr>
      <w:t xml:space="preserve"> </w:t>
    </w:r>
    <w:r w:rsidRPr="00E415FE">
      <w:rPr>
        <w:i/>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552B7"/>
    <w:multiLevelType w:val="multilevel"/>
    <w:tmpl w:val="6FAEC96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26103D7"/>
    <w:multiLevelType w:val="hybridMultilevel"/>
    <w:tmpl w:val="53507E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30038CA"/>
    <w:multiLevelType w:val="hybridMultilevel"/>
    <w:tmpl w:val="951AB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5E55FDE"/>
    <w:multiLevelType w:val="hybridMultilevel"/>
    <w:tmpl w:val="1F50C2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995BBA"/>
    <w:multiLevelType w:val="hybridMultilevel"/>
    <w:tmpl w:val="8D28ADF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9200B35"/>
    <w:multiLevelType w:val="multilevel"/>
    <w:tmpl w:val="4A842D26"/>
    <w:lvl w:ilvl="0">
      <w:start w:val="1"/>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3"/>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1A4F0EBA"/>
    <w:multiLevelType w:val="hybridMultilevel"/>
    <w:tmpl w:val="4DD42A8A"/>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nsid w:val="1B572222"/>
    <w:multiLevelType w:val="hybridMultilevel"/>
    <w:tmpl w:val="5420C3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D574FA7"/>
    <w:multiLevelType w:val="multilevel"/>
    <w:tmpl w:val="DFD0DBC0"/>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9">
    <w:nsid w:val="2054744D"/>
    <w:multiLevelType w:val="hybridMultilevel"/>
    <w:tmpl w:val="6838B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217090D"/>
    <w:multiLevelType w:val="hybridMultilevel"/>
    <w:tmpl w:val="D450993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nsid w:val="23106779"/>
    <w:multiLevelType w:val="hybridMultilevel"/>
    <w:tmpl w:val="9EF6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3AA78DE"/>
    <w:multiLevelType w:val="hybridMultilevel"/>
    <w:tmpl w:val="50D8096E"/>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3">
    <w:nsid w:val="249B04AA"/>
    <w:multiLevelType w:val="hybridMultilevel"/>
    <w:tmpl w:val="B986F09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49C1FD3"/>
    <w:multiLevelType w:val="hybridMultilevel"/>
    <w:tmpl w:val="188291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56713D7"/>
    <w:multiLevelType w:val="hybridMultilevel"/>
    <w:tmpl w:val="C2D62A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5A030BC"/>
    <w:multiLevelType w:val="hybridMultilevel"/>
    <w:tmpl w:val="F1BA011A"/>
    <w:lvl w:ilvl="0" w:tplc="04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273312B6"/>
    <w:multiLevelType w:val="hybridMultilevel"/>
    <w:tmpl w:val="2A72D7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284F219F"/>
    <w:multiLevelType w:val="multilevel"/>
    <w:tmpl w:val="6FAEC96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29710E80"/>
    <w:multiLevelType w:val="hybridMultilevel"/>
    <w:tmpl w:val="CF94E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180E66"/>
    <w:multiLevelType w:val="hybridMultilevel"/>
    <w:tmpl w:val="D3C6DD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D92D690">
      <w:start w:val="1"/>
      <w:numFmt w:val="decimal"/>
      <w:lvlText w:val="(%5)"/>
      <w:lvlJc w:val="left"/>
      <w:pPr>
        <w:ind w:left="3240" w:hanging="360"/>
      </w:pPr>
      <w:rPr>
        <w:rFonts w:hint="default"/>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nsid w:val="2BB27721"/>
    <w:multiLevelType w:val="hybridMultilevel"/>
    <w:tmpl w:val="0E2CF8B6"/>
    <w:lvl w:ilvl="0" w:tplc="04090003">
      <w:start w:val="1"/>
      <w:numFmt w:val="bullet"/>
      <w:lvlText w:val="o"/>
      <w:lvlJc w:val="left"/>
      <w:pPr>
        <w:ind w:left="1440" w:hanging="360"/>
      </w:pPr>
      <w:rPr>
        <w:rFonts w:ascii="Courier New" w:hAnsi="Courier New" w:cs="Courier New"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2F78383A"/>
    <w:multiLevelType w:val="hybridMultilevel"/>
    <w:tmpl w:val="9A2CF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1235265"/>
    <w:multiLevelType w:val="hybridMultilevel"/>
    <w:tmpl w:val="7A6AB790"/>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24">
    <w:nsid w:val="367C7133"/>
    <w:multiLevelType w:val="hybridMultilevel"/>
    <w:tmpl w:val="F8264B2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nsid w:val="3BC24F31"/>
    <w:multiLevelType w:val="hybridMultilevel"/>
    <w:tmpl w:val="881AD51E"/>
    <w:lvl w:ilvl="0" w:tplc="F8D0C5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3FCB1B4C"/>
    <w:multiLevelType w:val="hybridMultilevel"/>
    <w:tmpl w:val="F71C8E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14C5359"/>
    <w:multiLevelType w:val="hybridMultilevel"/>
    <w:tmpl w:val="A93E4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427001FD"/>
    <w:multiLevelType w:val="hybridMultilevel"/>
    <w:tmpl w:val="EC0E55DE"/>
    <w:lvl w:ilvl="0" w:tplc="04090001">
      <w:start w:val="1"/>
      <w:numFmt w:val="bullet"/>
      <w:lvlText w:val=""/>
      <w:lvlJc w:val="left"/>
      <w:pPr>
        <w:ind w:left="770" w:hanging="360"/>
      </w:pPr>
      <w:rPr>
        <w:rFonts w:ascii="Symbol" w:hAnsi="Symbol" w:hint="default"/>
      </w:rPr>
    </w:lvl>
    <w:lvl w:ilvl="1" w:tplc="10090019" w:tentative="1">
      <w:start w:val="1"/>
      <w:numFmt w:val="lowerLetter"/>
      <w:lvlText w:val="%2."/>
      <w:lvlJc w:val="left"/>
      <w:pPr>
        <w:ind w:left="1490" w:hanging="360"/>
      </w:pPr>
    </w:lvl>
    <w:lvl w:ilvl="2" w:tplc="1009001B" w:tentative="1">
      <w:start w:val="1"/>
      <w:numFmt w:val="lowerRoman"/>
      <w:lvlText w:val="%3."/>
      <w:lvlJc w:val="right"/>
      <w:pPr>
        <w:ind w:left="2210" w:hanging="180"/>
      </w:pPr>
    </w:lvl>
    <w:lvl w:ilvl="3" w:tplc="1009000F" w:tentative="1">
      <w:start w:val="1"/>
      <w:numFmt w:val="decimal"/>
      <w:lvlText w:val="%4."/>
      <w:lvlJc w:val="left"/>
      <w:pPr>
        <w:ind w:left="2930" w:hanging="360"/>
      </w:pPr>
    </w:lvl>
    <w:lvl w:ilvl="4" w:tplc="10090019" w:tentative="1">
      <w:start w:val="1"/>
      <w:numFmt w:val="lowerLetter"/>
      <w:lvlText w:val="%5."/>
      <w:lvlJc w:val="left"/>
      <w:pPr>
        <w:ind w:left="3650" w:hanging="360"/>
      </w:pPr>
    </w:lvl>
    <w:lvl w:ilvl="5" w:tplc="1009001B" w:tentative="1">
      <w:start w:val="1"/>
      <w:numFmt w:val="lowerRoman"/>
      <w:lvlText w:val="%6."/>
      <w:lvlJc w:val="right"/>
      <w:pPr>
        <w:ind w:left="4370" w:hanging="180"/>
      </w:pPr>
    </w:lvl>
    <w:lvl w:ilvl="6" w:tplc="1009000F" w:tentative="1">
      <w:start w:val="1"/>
      <w:numFmt w:val="decimal"/>
      <w:lvlText w:val="%7."/>
      <w:lvlJc w:val="left"/>
      <w:pPr>
        <w:ind w:left="5090" w:hanging="360"/>
      </w:pPr>
    </w:lvl>
    <w:lvl w:ilvl="7" w:tplc="10090019" w:tentative="1">
      <w:start w:val="1"/>
      <w:numFmt w:val="lowerLetter"/>
      <w:lvlText w:val="%8."/>
      <w:lvlJc w:val="left"/>
      <w:pPr>
        <w:ind w:left="5810" w:hanging="360"/>
      </w:pPr>
    </w:lvl>
    <w:lvl w:ilvl="8" w:tplc="1009001B" w:tentative="1">
      <w:start w:val="1"/>
      <w:numFmt w:val="lowerRoman"/>
      <w:lvlText w:val="%9."/>
      <w:lvlJc w:val="right"/>
      <w:pPr>
        <w:ind w:left="6530" w:hanging="180"/>
      </w:pPr>
    </w:lvl>
  </w:abstractNum>
  <w:abstractNum w:abstractNumId="29">
    <w:nsid w:val="43BB2486"/>
    <w:multiLevelType w:val="hybridMultilevel"/>
    <w:tmpl w:val="B07882D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454F2EE8"/>
    <w:multiLevelType w:val="hybridMultilevel"/>
    <w:tmpl w:val="5B94A1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5E11496"/>
    <w:multiLevelType w:val="hybridMultilevel"/>
    <w:tmpl w:val="D256E20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0F">
      <w:start w:val="1"/>
      <w:numFmt w:val="decimal"/>
      <w:lvlText w:val="%5."/>
      <w:lvlJc w:val="left"/>
      <w:pPr>
        <w:ind w:left="3240" w:hanging="360"/>
      </w:pPr>
      <w:rPr>
        <w:rFonts w:hint="default"/>
      </w:rPr>
    </w:lvl>
    <w:lvl w:ilvl="5" w:tplc="0409001B">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nsid w:val="46643D0D"/>
    <w:multiLevelType w:val="hybridMultilevel"/>
    <w:tmpl w:val="A5EAA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4A166134"/>
    <w:multiLevelType w:val="hybridMultilevel"/>
    <w:tmpl w:val="FCF26D9E"/>
    <w:lvl w:ilvl="0" w:tplc="04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4">
    <w:nsid w:val="4BF06CC4"/>
    <w:multiLevelType w:val="hybridMultilevel"/>
    <w:tmpl w:val="53507EA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nsid w:val="4DB67795"/>
    <w:multiLevelType w:val="multilevel"/>
    <w:tmpl w:val="6FAEC96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4F192945"/>
    <w:multiLevelType w:val="hybridMultilevel"/>
    <w:tmpl w:val="FAC4CACC"/>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start w:val="1"/>
      <w:numFmt w:val="bullet"/>
      <w:lvlText w:val=""/>
      <w:lvlJc w:val="left"/>
      <w:pPr>
        <w:ind w:left="2160" w:hanging="360"/>
      </w:pPr>
      <w:rPr>
        <w:rFonts w:ascii="Wingdings" w:hAnsi="Wingdings" w:hint="default"/>
      </w:rPr>
    </w:lvl>
    <w:lvl w:ilvl="3" w:tplc="10090001">
      <w:start w:val="1"/>
      <w:numFmt w:val="bullet"/>
      <w:lvlText w:val=""/>
      <w:lvlJc w:val="left"/>
      <w:pPr>
        <w:ind w:left="2880" w:hanging="360"/>
      </w:pPr>
      <w:rPr>
        <w:rFonts w:ascii="Symbol" w:hAnsi="Symbol" w:hint="default"/>
      </w:rPr>
    </w:lvl>
    <w:lvl w:ilvl="4" w:tplc="10090003">
      <w:start w:val="1"/>
      <w:numFmt w:val="bullet"/>
      <w:lvlText w:val="o"/>
      <w:lvlJc w:val="left"/>
      <w:pPr>
        <w:ind w:left="3600" w:hanging="360"/>
      </w:pPr>
      <w:rPr>
        <w:rFonts w:ascii="Courier New" w:hAnsi="Courier New" w:cs="Courier New" w:hint="default"/>
      </w:rPr>
    </w:lvl>
    <w:lvl w:ilvl="5" w:tplc="10090005">
      <w:start w:val="1"/>
      <w:numFmt w:val="bullet"/>
      <w:lvlText w:val=""/>
      <w:lvlJc w:val="left"/>
      <w:pPr>
        <w:ind w:left="4320" w:hanging="360"/>
      </w:pPr>
      <w:rPr>
        <w:rFonts w:ascii="Wingdings" w:hAnsi="Wingdings" w:hint="default"/>
      </w:rPr>
    </w:lvl>
    <w:lvl w:ilvl="6" w:tplc="10090001">
      <w:start w:val="1"/>
      <w:numFmt w:val="bullet"/>
      <w:lvlText w:val=""/>
      <w:lvlJc w:val="left"/>
      <w:pPr>
        <w:ind w:left="5040" w:hanging="360"/>
      </w:pPr>
      <w:rPr>
        <w:rFonts w:ascii="Symbol" w:hAnsi="Symbol" w:hint="default"/>
      </w:rPr>
    </w:lvl>
    <w:lvl w:ilvl="7" w:tplc="10090003">
      <w:start w:val="1"/>
      <w:numFmt w:val="bullet"/>
      <w:lvlText w:val="o"/>
      <w:lvlJc w:val="left"/>
      <w:pPr>
        <w:ind w:left="5760" w:hanging="360"/>
      </w:pPr>
      <w:rPr>
        <w:rFonts w:ascii="Courier New" w:hAnsi="Courier New" w:cs="Courier New" w:hint="default"/>
      </w:rPr>
    </w:lvl>
    <w:lvl w:ilvl="8" w:tplc="10090005">
      <w:start w:val="1"/>
      <w:numFmt w:val="bullet"/>
      <w:lvlText w:val=""/>
      <w:lvlJc w:val="left"/>
      <w:pPr>
        <w:ind w:left="6480" w:hanging="360"/>
      </w:pPr>
      <w:rPr>
        <w:rFonts w:ascii="Wingdings" w:hAnsi="Wingdings" w:hint="default"/>
      </w:rPr>
    </w:lvl>
  </w:abstractNum>
  <w:abstractNum w:abstractNumId="37">
    <w:nsid w:val="51630BA3"/>
    <w:multiLevelType w:val="hybridMultilevel"/>
    <w:tmpl w:val="91DADA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A927FA6">
      <w:numFmt w:val="bullet"/>
      <w:lvlText w:val="•"/>
      <w:lvlJc w:val="left"/>
      <w:pPr>
        <w:ind w:left="2520" w:hanging="720"/>
      </w:pPr>
      <w:rPr>
        <w:rFonts w:ascii="Calibri" w:eastAsiaTheme="minorHAnsi" w:hAnsi="Calibri" w:cs="Calibr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52513F7F"/>
    <w:multiLevelType w:val="hybridMultilevel"/>
    <w:tmpl w:val="578647D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nsid w:val="53C33202"/>
    <w:multiLevelType w:val="hybridMultilevel"/>
    <w:tmpl w:val="7572FAAC"/>
    <w:lvl w:ilvl="0" w:tplc="04090001">
      <w:start w:val="1"/>
      <w:numFmt w:val="bullet"/>
      <w:lvlText w:val=""/>
      <w:lvlJc w:val="left"/>
      <w:pPr>
        <w:ind w:left="1440" w:hanging="360"/>
      </w:pPr>
      <w:rPr>
        <w:rFonts w:ascii="Symbol" w:hAnsi="Symbol" w:hint="default"/>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55EA2E6B"/>
    <w:multiLevelType w:val="hybridMultilevel"/>
    <w:tmpl w:val="EDACA0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55FD0C79"/>
    <w:multiLevelType w:val="hybridMultilevel"/>
    <w:tmpl w:val="188291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5BA04D92"/>
    <w:multiLevelType w:val="hybridMultilevel"/>
    <w:tmpl w:val="9A2E5C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43">
    <w:nsid w:val="5CE3372C"/>
    <w:multiLevelType w:val="multilevel"/>
    <w:tmpl w:val="6FAEC960"/>
    <w:lvl w:ilvl="0">
      <w:start w:val="1"/>
      <w:numFmt w:val="decimal"/>
      <w:lvlText w:val="%1)"/>
      <w:lvlJc w:val="left"/>
      <w:pPr>
        <w:ind w:left="360" w:hanging="360"/>
      </w:pPr>
    </w:lvl>
    <w:lvl w:ilvl="1">
      <w:start w:val="1"/>
      <w:numFmt w:val="bullet"/>
      <w:lvlText w:val=""/>
      <w:lvlJc w:val="left"/>
      <w:pPr>
        <w:ind w:left="720" w:hanging="360"/>
      </w:pPr>
      <w:rPr>
        <w:rFonts w:ascii="Symbol" w:hAnsi="Symbol"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60DB06E9"/>
    <w:multiLevelType w:val="hybridMultilevel"/>
    <w:tmpl w:val="84A8984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5">
    <w:nsid w:val="6B167A79"/>
    <w:multiLevelType w:val="hybridMultilevel"/>
    <w:tmpl w:val="6C661E2C"/>
    <w:lvl w:ilvl="0" w:tplc="1009000F">
      <w:start w:val="1"/>
      <w:numFmt w:val="decimal"/>
      <w:lvlText w:val="%1."/>
      <w:lvlJc w:val="left"/>
      <w:pPr>
        <w:ind w:left="770" w:hanging="360"/>
      </w:pPr>
    </w:lvl>
    <w:lvl w:ilvl="1" w:tplc="10090019" w:tentative="1">
      <w:start w:val="1"/>
      <w:numFmt w:val="lowerLetter"/>
      <w:lvlText w:val="%2."/>
      <w:lvlJc w:val="left"/>
      <w:pPr>
        <w:ind w:left="1490" w:hanging="360"/>
      </w:pPr>
    </w:lvl>
    <w:lvl w:ilvl="2" w:tplc="1009001B" w:tentative="1">
      <w:start w:val="1"/>
      <w:numFmt w:val="lowerRoman"/>
      <w:lvlText w:val="%3."/>
      <w:lvlJc w:val="right"/>
      <w:pPr>
        <w:ind w:left="2210" w:hanging="180"/>
      </w:pPr>
    </w:lvl>
    <w:lvl w:ilvl="3" w:tplc="1009000F" w:tentative="1">
      <w:start w:val="1"/>
      <w:numFmt w:val="decimal"/>
      <w:lvlText w:val="%4."/>
      <w:lvlJc w:val="left"/>
      <w:pPr>
        <w:ind w:left="2930" w:hanging="360"/>
      </w:pPr>
    </w:lvl>
    <w:lvl w:ilvl="4" w:tplc="10090019" w:tentative="1">
      <w:start w:val="1"/>
      <w:numFmt w:val="lowerLetter"/>
      <w:lvlText w:val="%5."/>
      <w:lvlJc w:val="left"/>
      <w:pPr>
        <w:ind w:left="3650" w:hanging="360"/>
      </w:pPr>
    </w:lvl>
    <w:lvl w:ilvl="5" w:tplc="1009001B" w:tentative="1">
      <w:start w:val="1"/>
      <w:numFmt w:val="lowerRoman"/>
      <w:lvlText w:val="%6."/>
      <w:lvlJc w:val="right"/>
      <w:pPr>
        <w:ind w:left="4370" w:hanging="180"/>
      </w:pPr>
    </w:lvl>
    <w:lvl w:ilvl="6" w:tplc="1009000F" w:tentative="1">
      <w:start w:val="1"/>
      <w:numFmt w:val="decimal"/>
      <w:lvlText w:val="%7."/>
      <w:lvlJc w:val="left"/>
      <w:pPr>
        <w:ind w:left="5090" w:hanging="360"/>
      </w:pPr>
    </w:lvl>
    <w:lvl w:ilvl="7" w:tplc="10090019" w:tentative="1">
      <w:start w:val="1"/>
      <w:numFmt w:val="lowerLetter"/>
      <w:lvlText w:val="%8."/>
      <w:lvlJc w:val="left"/>
      <w:pPr>
        <w:ind w:left="5810" w:hanging="360"/>
      </w:pPr>
    </w:lvl>
    <w:lvl w:ilvl="8" w:tplc="1009001B" w:tentative="1">
      <w:start w:val="1"/>
      <w:numFmt w:val="lowerRoman"/>
      <w:lvlText w:val="%9."/>
      <w:lvlJc w:val="right"/>
      <w:pPr>
        <w:ind w:left="6530" w:hanging="180"/>
      </w:pPr>
    </w:lvl>
  </w:abstractNum>
  <w:abstractNum w:abstractNumId="46">
    <w:nsid w:val="6E823AB0"/>
    <w:multiLevelType w:val="hybridMultilevel"/>
    <w:tmpl w:val="89B0C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nsid w:val="6E92312F"/>
    <w:multiLevelType w:val="hybridMultilevel"/>
    <w:tmpl w:val="188291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nsid w:val="6FBC5A4B"/>
    <w:multiLevelType w:val="multilevel"/>
    <w:tmpl w:val="86FAB032"/>
    <w:lvl w:ilvl="0">
      <w:start w:val="3"/>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9">
    <w:nsid w:val="700A0044"/>
    <w:multiLevelType w:val="hybridMultilevel"/>
    <w:tmpl w:val="C28AD4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nsid w:val="706F250B"/>
    <w:multiLevelType w:val="hybridMultilevel"/>
    <w:tmpl w:val="188291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72794A35"/>
    <w:multiLevelType w:val="hybridMultilevel"/>
    <w:tmpl w:val="3B5A3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75EA5B80"/>
    <w:multiLevelType w:val="hybridMultilevel"/>
    <w:tmpl w:val="6FBCE410"/>
    <w:lvl w:ilvl="0" w:tplc="04090001">
      <w:start w:val="1"/>
      <w:numFmt w:val="bullet"/>
      <w:lvlText w:val=""/>
      <w:lvlJc w:val="left"/>
      <w:pPr>
        <w:ind w:left="426" w:hanging="360"/>
      </w:pPr>
      <w:rPr>
        <w:rFonts w:ascii="Symbol" w:hAnsi="Symbol" w:hint="default"/>
      </w:rPr>
    </w:lvl>
    <w:lvl w:ilvl="1" w:tplc="10090003">
      <w:start w:val="1"/>
      <w:numFmt w:val="bullet"/>
      <w:lvlText w:val="o"/>
      <w:lvlJc w:val="left"/>
      <w:pPr>
        <w:ind w:left="1146" w:hanging="360"/>
      </w:pPr>
      <w:rPr>
        <w:rFonts w:ascii="Courier New" w:hAnsi="Courier New" w:cs="Courier New" w:hint="default"/>
      </w:rPr>
    </w:lvl>
    <w:lvl w:ilvl="2" w:tplc="10090005" w:tentative="1">
      <w:start w:val="1"/>
      <w:numFmt w:val="bullet"/>
      <w:lvlText w:val=""/>
      <w:lvlJc w:val="left"/>
      <w:pPr>
        <w:ind w:left="1866" w:hanging="360"/>
      </w:pPr>
      <w:rPr>
        <w:rFonts w:ascii="Wingdings" w:hAnsi="Wingdings" w:hint="default"/>
      </w:rPr>
    </w:lvl>
    <w:lvl w:ilvl="3" w:tplc="10090001" w:tentative="1">
      <w:start w:val="1"/>
      <w:numFmt w:val="bullet"/>
      <w:lvlText w:val=""/>
      <w:lvlJc w:val="left"/>
      <w:pPr>
        <w:ind w:left="2586" w:hanging="360"/>
      </w:pPr>
      <w:rPr>
        <w:rFonts w:ascii="Symbol" w:hAnsi="Symbol" w:hint="default"/>
      </w:rPr>
    </w:lvl>
    <w:lvl w:ilvl="4" w:tplc="10090003" w:tentative="1">
      <w:start w:val="1"/>
      <w:numFmt w:val="bullet"/>
      <w:lvlText w:val="o"/>
      <w:lvlJc w:val="left"/>
      <w:pPr>
        <w:ind w:left="3306" w:hanging="360"/>
      </w:pPr>
      <w:rPr>
        <w:rFonts w:ascii="Courier New" w:hAnsi="Courier New" w:cs="Courier New" w:hint="default"/>
      </w:rPr>
    </w:lvl>
    <w:lvl w:ilvl="5" w:tplc="10090005" w:tentative="1">
      <w:start w:val="1"/>
      <w:numFmt w:val="bullet"/>
      <w:lvlText w:val=""/>
      <w:lvlJc w:val="left"/>
      <w:pPr>
        <w:ind w:left="4026" w:hanging="360"/>
      </w:pPr>
      <w:rPr>
        <w:rFonts w:ascii="Wingdings" w:hAnsi="Wingdings" w:hint="default"/>
      </w:rPr>
    </w:lvl>
    <w:lvl w:ilvl="6" w:tplc="10090001" w:tentative="1">
      <w:start w:val="1"/>
      <w:numFmt w:val="bullet"/>
      <w:lvlText w:val=""/>
      <w:lvlJc w:val="left"/>
      <w:pPr>
        <w:ind w:left="4746" w:hanging="360"/>
      </w:pPr>
      <w:rPr>
        <w:rFonts w:ascii="Symbol" w:hAnsi="Symbol" w:hint="default"/>
      </w:rPr>
    </w:lvl>
    <w:lvl w:ilvl="7" w:tplc="10090003" w:tentative="1">
      <w:start w:val="1"/>
      <w:numFmt w:val="bullet"/>
      <w:lvlText w:val="o"/>
      <w:lvlJc w:val="left"/>
      <w:pPr>
        <w:ind w:left="5466" w:hanging="360"/>
      </w:pPr>
      <w:rPr>
        <w:rFonts w:ascii="Courier New" w:hAnsi="Courier New" w:cs="Courier New" w:hint="default"/>
      </w:rPr>
    </w:lvl>
    <w:lvl w:ilvl="8" w:tplc="10090005" w:tentative="1">
      <w:start w:val="1"/>
      <w:numFmt w:val="bullet"/>
      <w:lvlText w:val=""/>
      <w:lvlJc w:val="left"/>
      <w:pPr>
        <w:ind w:left="6186" w:hanging="360"/>
      </w:pPr>
      <w:rPr>
        <w:rFonts w:ascii="Wingdings" w:hAnsi="Wingdings" w:hint="default"/>
      </w:rPr>
    </w:lvl>
  </w:abstractNum>
  <w:abstractNum w:abstractNumId="53">
    <w:nsid w:val="76E864A7"/>
    <w:multiLevelType w:val="hybridMultilevel"/>
    <w:tmpl w:val="343A0CE8"/>
    <w:lvl w:ilvl="0" w:tplc="04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4">
    <w:nsid w:val="7AD16F86"/>
    <w:multiLevelType w:val="hybridMultilevel"/>
    <w:tmpl w:val="816211C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2"/>
  </w:num>
  <w:num w:numId="3">
    <w:abstractNumId w:val="5"/>
  </w:num>
  <w:num w:numId="4">
    <w:abstractNumId w:val="48"/>
  </w:num>
  <w:num w:numId="5">
    <w:abstractNumId w:val="22"/>
  </w:num>
  <w:num w:numId="6">
    <w:abstractNumId w:val="7"/>
  </w:num>
  <w:num w:numId="7">
    <w:abstractNumId w:val="20"/>
  </w:num>
  <w:num w:numId="8">
    <w:abstractNumId w:val="46"/>
  </w:num>
  <w:num w:numId="9">
    <w:abstractNumId w:val="13"/>
  </w:num>
  <w:num w:numId="10">
    <w:abstractNumId w:val="19"/>
  </w:num>
  <w:num w:numId="11">
    <w:abstractNumId w:val="9"/>
  </w:num>
  <w:num w:numId="12">
    <w:abstractNumId w:val="51"/>
  </w:num>
  <w:num w:numId="13">
    <w:abstractNumId w:val="35"/>
  </w:num>
  <w:num w:numId="14">
    <w:abstractNumId w:val="25"/>
  </w:num>
  <w:num w:numId="15">
    <w:abstractNumId w:val="4"/>
  </w:num>
  <w:num w:numId="16">
    <w:abstractNumId w:val="40"/>
  </w:num>
  <w:num w:numId="17">
    <w:abstractNumId w:val="37"/>
  </w:num>
  <w:num w:numId="18">
    <w:abstractNumId w:val="14"/>
  </w:num>
  <w:num w:numId="19">
    <w:abstractNumId w:val="45"/>
  </w:num>
  <w:num w:numId="20">
    <w:abstractNumId w:val="36"/>
  </w:num>
  <w:num w:numId="21">
    <w:abstractNumId w:val="10"/>
  </w:num>
  <w:num w:numId="22">
    <w:abstractNumId w:val="15"/>
  </w:num>
  <w:num w:numId="23">
    <w:abstractNumId w:val="3"/>
  </w:num>
  <w:num w:numId="24">
    <w:abstractNumId w:val="47"/>
  </w:num>
  <w:num w:numId="25">
    <w:abstractNumId w:val="41"/>
  </w:num>
  <w:num w:numId="26">
    <w:abstractNumId w:val="50"/>
  </w:num>
  <w:num w:numId="27">
    <w:abstractNumId w:val="39"/>
  </w:num>
  <w:num w:numId="28">
    <w:abstractNumId w:val="38"/>
  </w:num>
  <w:num w:numId="29">
    <w:abstractNumId w:val="17"/>
  </w:num>
  <w:num w:numId="30">
    <w:abstractNumId w:val="23"/>
  </w:num>
  <w:num w:numId="31">
    <w:abstractNumId w:val="11"/>
  </w:num>
  <w:num w:numId="32">
    <w:abstractNumId w:val="27"/>
  </w:num>
  <w:num w:numId="33">
    <w:abstractNumId w:val="28"/>
  </w:num>
  <w:num w:numId="34">
    <w:abstractNumId w:val="34"/>
  </w:num>
  <w:num w:numId="35">
    <w:abstractNumId w:val="0"/>
  </w:num>
  <w:num w:numId="36">
    <w:abstractNumId w:val="31"/>
  </w:num>
  <w:num w:numId="37">
    <w:abstractNumId w:val="18"/>
  </w:num>
  <w:num w:numId="38">
    <w:abstractNumId w:val="43"/>
  </w:num>
  <w:num w:numId="39">
    <w:abstractNumId w:val="26"/>
  </w:num>
  <w:num w:numId="40">
    <w:abstractNumId w:val="44"/>
  </w:num>
  <w:num w:numId="41">
    <w:abstractNumId w:val="32"/>
  </w:num>
  <w:num w:numId="42">
    <w:abstractNumId w:val="30"/>
  </w:num>
  <w:num w:numId="43">
    <w:abstractNumId w:val="12"/>
  </w:num>
  <w:num w:numId="44">
    <w:abstractNumId w:val="24"/>
  </w:num>
  <w:num w:numId="45">
    <w:abstractNumId w:val="49"/>
  </w:num>
  <w:num w:numId="46">
    <w:abstractNumId w:val="16"/>
  </w:num>
  <w:num w:numId="47">
    <w:abstractNumId w:val="52"/>
  </w:num>
  <w:num w:numId="48">
    <w:abstractNumId w:val="33"/>
  </w:num>
  <w:num w:numId="49">
    <w:abstractNumId w:val="42"/>
  </w:num>
  <w:num w:numId="50">
    <w:abstractNumId w:val="6"/>
  </w:num>
  <w:num w:numId="51">
    <w:abstractNumId w:val="54"/>
  </w:num>
  <w:num w:numId="52">
    <w:abstractNumId w:val="29"/>
  </w:num>
  <w:num w:numId="53">
    <w:abstractNumId w:val="53"/>
  </w:num>
  <w:num w:numId="54">
    <w:abstractNumId w:val="1"/>
  </w:num>
  <w:num w:numId="55">
    <w:abstractNumId w:val="21"/>
  </w:num>
  <w:numIdMacAtCleanup w:val="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vin Eng">
    <w15:presenceInfo w15:providerId="None" w15:userId="Marvin Eng"/>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81"/>
  <w:drawingGridVerticalSpacing w:val="181"/>
  <w:characterSpacingControl w:val="doNotCompress"/>
  <w:hdrShapeDefaults>
    <o:shapedefaults v:ext="edit" spidmax="2049"/>
  </w:hdrShapeDefaults>
  <w:footnotePr>
    <w:numFmt w:val="lowerRoman"/>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2935"/>
    <w:rsid w:val="0000146E"/>
    <w:rsid w:val="000063C8"/>
    <w:rsid w:val="00011500"/>
    <w:rsid w:val="000116B4"/>
    <w:rsid w:val="00011D51"/>
    <w:rsid w:val="000155AF"/>
    <w:rsid w:val="00016C77"/>
    <w:rsid w:val="00016DC7"/>
    <w:rsid w:val="00017FD0"/>
    <w:rsid w:val="00020577"/>
    <w:rsid w:val="0002162A"/>
    <w:rsid w:val="0002371C"/>
    <w:rsid w:val="00025A25"/>
    <w:rsid w:val="000315E9"/>
    <w:rsid w:val="0003169D"/>
    <w:rsid w:val="000318F7"/>
    <w:rsid w:val="00032DCF"/>
    <w:rsid w:val="0003313C"/>
    <w:rsid w:val="00034EBF"/>
    <w:rsid w:val="00036209"/>
    <w:rsid w:val="00036CD4"/>
    <w:rsid w:val="0004000D"/>
    <w:rsid w:val="000429A2"/>
    <w:rsid w:val="00043E3C"/>
    <w:rsid w:val="00045707"/>
    <w:rsid w:val="000467CF"/>
    <w:rsid w:val="00046D5A"/>
    <w:rsid w:val="000470C2"/>
    <w:rsid w:val="000470CF"/>
    <w:rsid w:val="000538E7"/>
    <w:rsid w:val="0005413D"/>
    <w:rsid w:val="0005555B"/>
    <w:rsid w:val="00055DBC"/>
    <w:rsid w:val="000567FC"/>
    <w:rsid w:val="00057EFD"/>
    <w:rsid w:val="0006212C"/>
    <w:rsid w:val="000633BF"/>
    <w:rsid w:val="00064B85"/>
    <w:rsid w:val="0006672A"/>
    <w:rsid w:val="0006750E"/>
    <w:rsid w:val="00073A4E"/>
    <w:rsid w:val="00073F34"/>
    <w:rsid w:val="0007406D"/>
    <w:rsid w:val="00076562"/>
    <w:rsid w:val="00077526"/>
    <w:rsid w:val="00077FA6"/>
    <w:rsid w:val="00085CDB"/>
    <w:rsid w:val="00087015"/>
    <w:rsid w:val="00087A4A"/>
    <w:rsid w:val="00092935"/>
    <w:rsid w:val="000943B0"/>
    <w:rsid w:val="00095B9B"/>
    <w:rsid w:val="00096513"/>
    <w:rsid w:val="00096608"/>
    <w:rsid w:val="0009660B"/>
    <w:rsid w:val="000A3582"/>
    <w:rsid w:val="000B0781"/>
    <w:rsid w:val="000B18B1"/>
    <w:rsid w:val="000B2B74"/>
    <w:rsid w:val="000B315F"/>
    <w:rsid w:val="000B6239"/>
    <w:rsid w:val="000C10BC"/>
    <w:rsid w:val="000C2714"/>
    <w:rsid w:val="000C33A2"/>
    <w:rsid w:val="000C6D03"/>
    <w:rsid w:val="000C7549"/>
    <w:rsid w:val="000D00D1"/>
    <w:rsid w:val="000D1201"/>
    <w:rsid w:val="000D2AEB"/>
    <w:rsid w:val="000D77FB"/>
    <w:rsid w:val="000D79FB"/>
    <w:rsid w:val="000E0CEA"/>
    <w:rsid w:val="000E36FB"/>
    <w:rsid w:val="000E4A94"/>
    <w:rsid w:val="000F0C71"/>
    <w:rsid w:val="000F0CF9"/>
    <w:rsid w:val="000F216D"/>
    <w:rsid w:val="000F223D"/>
    <w:rsid w:val="000F3294"/>
    <w:rsid w:val="00100041"/>
    <w:rsid w:val="00101B5A"/>
    <w:rsid w:val="00103D37"/>
    <w:rsid w:val="001044F0"/>
    <w:rsid w:val="00107CDC"/>
    <w:rsid w:val="00112ECD"/>
    <w:rsid w:val="00113DEC"/>
    <w:rsid w:val="00113EA4"/>
    <w:rsid w:val="001155BB"/>
    <w:rsid w:val="0011562C"/>
    <w:rsid w:val="00116A92"/>
    <w:rsid w:val="00117D21"/>
    <w:rsid w:val="0012005A"/>
    <w:rsid w:val="001227E2"/>
    <w:rsid w:val="00123EB0"/>
    <w:rsid w:val="001272FF"/>
    <w:rsid w:val="00130A77"/>
    <w:rsid w:val="00130B3D"/>
    <w:rsid w:val="00130D5E"/>
    <w:rsid w:val="001317C1"/>
    <w:rsid w:val="00131AC3"/>
    <w:rsid w:val="0013242B"/>
    <w:rsid w:val="00135CD2"/>
    <w:rsid w:val="00137BDB"/>
    <w:rsid w:val="00141EF8"/>
    <w:rsid w:val="00142C0C"/>
    <w:rsid w:val="0014552E"/>
    <w:rsid w:val="00145875"/>
    <w:rsid w:val="0015056D"/>
    <w:rsid w:val="00154FF9"/>
    <w:rsid w:val="00155698"/>
    <w:rsid w:val="001565EE"/>
    <w:rsid w:val="001608B8"/>
    <w:rsid w:val="00163F10"/>
    <w:rsid w:val="001650B5"/>
    <w:rsid w:val="001669E0"/>
    <w:rsid w:val="00174E8A"/>
    <w:rsid w:val="00176486"/>
    <w:rsid w:val="0017770C"/>
    <w:rsid w:val="00177D76"/>
    <w:rsid w:val="00182286"/>
    <w:rsid w:val="00190BC3"/>
    <w:rsid w:val="00191473"/>
    <w:rsid w:val="00191EAA"/>
    <w:rsid w:val="0019276B"/>
    <w:rsid w:val="001927C4"/>
    <w:rsid w:val="00192C14"/>
    <w:rsid w:val="001938CE"/>
    <w:rsid w:val="00194B2A"/>
    <w:rsid w:val="0019648C"/>
    <w:rsid w:val="001A05D7"/>
    <w:rsid w:val="001A0885"/>
    <w:rsid w:val="001A1454"/>
    <w:rsid w:val="001A30E8"/>
    <w:rsid w:val="001A3E83"/>
    <w:rsid w:val="001A60E1"/>
    <w:rsid w:val="001B0DBA"/>
    <w:rsid w:val="001B0EDD"/>
    <w:rsid w:val="001B1CC4"/>
    <w:rsid w:val="001B53C4"/>
    <w:rsid w:val="001B6275"/>
    <w:rsid w:val="001C0858"/>
    <w:rsid w:val="001C0BCB"/>
    <w:rsid w:val="001C1F08"/>
    <w:rsid w:val="001C2016"/>
    <w:rsid w:val="001C39B1"/>
    <w:rsid w:val="001C4256"/>
    <w:rsid w:val="001C6759"/>
    <w:rsid w:val="001C6E5F"/>
    <w:rsid w:val="001C6EBB"/>
    <w:rsid w:val="001C6F68"/>
    <w:rsid w:val="001C705D"/>
    <w:rsid w:val="001C7E70"/>
    <w:rsid w:val="001D052D"/>
    <w:rsid w:val="001D253F"/>
    <w:rsid w:val="001D3E07"/>
    <w:rsid w:val="001D72D9"/>
    <w:rsid w:val="001E3067"/>
    <w:rsid w:val="001F1E4D"/>
    <w:rsid w:val="001F4DE7"/>
    <w:rsid w:val="001F5BD6"/>
    <w:rsid w:val="001F5ECB"/>
    <w:rsid w:val="00200937"/>
    <w:rsid w:val="0020135F"/>
    <w:rsid w:val="00205FC6"/>
    <w:rsid w:val="0021275F"/>
    <w:rsid w:val="00214B53"/>
    <w:rsid w:val="002151AB"/>
    <w:rsid w:val="002178E0"/>
    <w:rsid w:val="00222A07"/>
    <w:rsid w:val="00222D01"/>
    <w:rsid w:val="0022622C"/>
    <w:rsid w:val="00227E1D"/>
    <w:rsid w:val="00232279"/>
    <w:rsid w:val="00232CD6"/>
    <w:rsid w:val="00233F90"/>
    <w:rsid w:val="00234521"/>
    <w:rsid w:val="00235BEA"/>
    <w:rsid w:val="00240DFD"/>
    <w:rsid w:val="00241472"/>
    <w:rsid w:val="00245FC5"/>
    <w:rsid w:val="002466AE"/>
    <w:rsid w:val="00254B65"/>
    <w:rsid w:val="002557B6"/>
    <w:rsid w:val="002559A9"/>
    <w:rsid w:val="00260CE7"/>
    <w:rsid w:val="0026215C"/>
    <w:rsid w:val="00267994"/>
    <w:rsid w:val="00267EC5"/>
    <w:rsid w:val="00273537"/>
    <w:rsid w:val="00274B80"/>
    <w:rsid w:val="002805A5"/>
    <w:rsid w:val="00284B08"/>
    <w:rsid w:val="00285F6B"/>
    <w:rsid w:val="00286EEB"/>
    <w:rsid w:val="00292746"/>
    <w:rsid w:val="00293EED"/>
    <w:rsid w:val="002954F9"/>
    <w:rsid w:val="00295F5B"/>
    <w:rsid w:val="00296F63"/>
    <w:rsid w:val="002A3AF1"/>
    <w:rsid w:val="002A7B41"/>
    <w:rsid w:val="002B094E"/>
    <w:rsid w:val="002B10D8"/>
    <w:rsid w:val="002B26E5"/>
    <w:rsid w:val="002B34ED"/>
    <w:rsid w:val="002B4262"/>
    <w:rsid w:val="002B6DB6"/>
    <w:rsid w:val="002C6909"/>
    <w:rsid w:val="002D4B54"/>
    <w:rsid w:val="002D65B5"/>
    <w:rsid w:val="002D765A"/>
    <w:rsid w:val="002E3A6C"/>
    <w:rsid w:val="002E3E17"/>
    <w:rsid w:val="002E4121"/>
    <w:rsid w:val="002E448C"/>
    <w:rsid w:val="002E5893"/>
    <w:rsid w:val="002E605F"/>
    <w:rsid w:val="002E7A7C"/>
    <w:rsid w:val="002F2C1D"/>
    <w:rsid w:val="002F31EA"/>
    <w:rsid w:val="002F6866"/>
    <w:rsid w:val="003002D4"/>
    <w:rsid w:val="003018F9"/>
    <w:rsid w:val="00301D70"/>
    <w:rsid w:val="0030263E"/>
    <w:rsid w:val="00303231"/>
    <w:rsid w:val="00304964"/>
    <w:rsid w:val="0030750E"/>
    <w:rsid w:val="003100BE"/>
    <w:rsid w:val="00310459"/>
    <w:rsid w:val="00310B8F"/>
    <w:rsid w:val="0031504C"/>
    <w:rsid w:val="00315177"/>
    <w:rsid w:val="003210FA"/>
    <w:rsid w:val="00321C85"/>
    <w:rsid w:val="003230F5"/>
    <w:rsid w:val="0032602C"/>
    <w:rsid w:val="00331BEB"/>
    <w:rsid w:val="0033365B"/>
    <w:rsid w:val="00333EE2"/>
    <w:rsid w:val="003401BB"/>
    <w:rsid w:val="0034562F"/>
    <w:rsid w:val="003461E9"/>
    <w:rsid w:val="0035262F"/>
    <w:rsid w:val="00352815"/>
    <w:rsid w:val="003539D5"/>
    <w:rsid w:val="00354B74"/>
    <w:rsid w:val="00356E6A"/>
    <w:rsid w:val="00356F2D"/>
    <w:rsid w:val="00361B35"/>
    <w:rsid w:val="0036289F"/>
    <w:rsid w:val="00364F22"/>
    <w:rsid w:val="00365393"/>
    <w:rsid w:val="0036771C"/>
    <w:rsid w:val="00367CF8"/>
    <w:rsid w:val="00374D7C"/>
    <w:rsid w:val="00375AA7"/>
    <w:rsid w:val="00376BD5"/>
    <w:rsid w:val="003830ED"/>
    <w:rsid w:val="0038532A"/>
    <w:rsid w:val="003859CF"/>
    <w:rsid w:val="00386828"/>
    <w:rsid w:val="00386DDD"/>
    <w:rsid w:val="003871CA"/>
    <w:rsid w:val="00391958"/>
    <w:rsid w:val="00395D7F"/>
    <w:rsid w:val="00395E63"/>
    <w:rsid w:val="0039728E"/>
    <w:rsid w:val="00397FF1"/>
    <w:rsid w:val="003A05C9"/>
    <w:rsid w:val="003A083E"/>
    <w:rsid w:val="003A1A58"/>
    <w:rsid w:val="003A4B15"/>
    <w:rsid w:val="003A64FB"/>
    <w:rsid w:val="003A7A06"/>
    <w:rsid w:val="003B27CA"/>
    <w:rsid w:val="003B415C"/>
    <w:rsid w:val="003B721E"/>
    <w:rsid w:val="003B7A2A"/>
    <w:rsid w:val="003C2474"/>
    <w:rsid w:val="003D0E5B"/>
    <w:rsid w:val="003D3349"/>
    <w:rsid w:val="003D51D9"/>
    <w:rsid w:val="003D5DE8"/>
    <w:rsid w:val="003E22FF"/>
    <w:rsid w:val="003E348E"/>
    <w:rsid w:val="003E3EAC"/>
    <w:rsid w:val="003E54CF"/>
    <w:rsid w:val="003E705E"/>
    <w:rsid w:val="003E7749"/>
    <w:rsid w:val="003F078F"/>
    <w:rsid w:val="003F0E09"/>
    <w:rsid w:val="003F3FC8"/>
    <w:rsid w:val="003F46E8"/>
    <w:rsid w:val="003F4F6A"/>
    <w:rsid w:val="003F5925"/>
    <w:rsid w:val="003F6C4C"/>
    <w:rsid w:val="00401965"/>
    <w:rsid w:val="004032AC"/>
    <w:rsid w:val="00404424"/>
    <w:rsid w:val="00405E04"/>
    <w:rsid w:val="00410944"/>
    <w:rsid w:val="004109CC"/>
    <w:rsid w:val="00410E3D"/>
    <w:rsid w:val="00411A10"/>
    <w:rsid w:val="004144FE"/>
    <w:rsid w:val="00416827"/>
    <w:rsid w:val="00416C0C"/>
    <w:rsid w:val="004174DB"/>
    <w:rsid w:val="00422713"/>
    <w:rsid w:val="004234A2"/>
    <w:rsid w:val="00423739"/>
    <w:rsid w:val="00424EE9"/>
    <w:rsid w:val="00426A51"/>
    <w:rsid w:val="00426B9C"/>
    <w:rsid w:val="00426C33"/>
    <w:rsid w:val="00426D03"/>
    <w:rsid w:val="00426F53"/>
    <w:rsid w:val="00427D83"/>
    <w:rsid w:val="004320F3"/>
    <w:rsid w:val="0043295E"/>
    <w:rsid w:val="00433F5E"/>
    <w:rsid w:val="00436AAE"/>
    <w:rsid w:val="0043750E"/>
    <w:rsid w:val="004442E0"/>
    <w:rsid w:val="0044538A"/>
    <w:rsid w:val="00445DCD"/>
    <w:rsid w:val="00450CAD"/>
    <w:rsid w:val="00453039"/>
    <w:rsid w:val="00453226"/>
    <w:rsid w:val="004579CF"/>
    <w:rsid w:val="00460415"/>
    <w:rsid w:val="00461B5E"/>
    <w:rsid w:val="004634AE"/>
    <w:rsid w:val="00464839"/>
    <w:rsid w:val="00465007"/>
    <w:rsid w:val="00465677"/>
    <w:rsid w:val="00465779"/>
    <w:rsid w:val="00467C7D"/>
    <w:rsid w:val="00467F46"/>
    <w:rsid w:val="00470F90"/>
    <w:rsid w:val="004716C8"/>
    <w:rsid w:val="00471D24"/>
    <w:rsid w:val="00477205"/>
    <w:rsid w:val="0047729C"/>
    <w:rsid w:val="0047747E"/>
    <w:rsid w:val="00481F00"/>
    <w:rsid w:val="004846F7"/>
    <w:rsid w:val="0048606E"/>
    <w:rsid w:val="004867BA"/>
    <w:rsid w:val="00493F0F"/>
    <w:rsid w:val="00494962"/>
    <w:rsid w:val="00495DDD"/>
    <w:rsid w:val="004A27BE"/>
    <w:rsid w:val="004A3181"/>
    <w:rsid w:val="004A3494"/>
    <w:rsid w:val="004A6793"/>
    <w:rsid w:val="004A7995"/>
    <w:rsid w:val="004B1A0B"/>
    <w:rsid w:val="004B1BBD"/>
    <w:rsid w:val="004B2337"/>
    <w:rsid w:val="004B573F"/>
    <w:rsid w:val="004B6A63"/>
    <w:rsid w:val="004B6E71"/>
    <w:rsid w:val="004B7DCE"/>
    <w:rsid w:val="004C0827"/>
    <w:rsid w:val="004C1530"/>
    <w:rsid w:val="004C1A15"/>
    <w:rsid w:val="004C2564"/>
    <w:rsid w:val="004C2E00"/>
    <w:rsid w:val="004C349A"/>
    <w:rsid w:val="004C5E16"/>
    <w:rsid w:val="004D3CC8"/>
    <w:rsid w:val="004D4CC4"/>
    <w:rsid w:val="004D63E3"/>
    <w:rsid w:val="004D693E"/>
    <w:rsid w:val="004E10C8"/>
    <w:rsid w:val="004E45ED"/>
    <w:rsid w:val="004E50E3"/>
    <w:rsid w:val="004E5D57"/>
    <w:rsid w:val="004E6F13"/>
    <w:rsid w:val="004E71A3"/>
    <w:rsid w:val="004E7E70"/>
    <w:rsid w:val="004F2E35"/>
    <w:rsid w:val="004F4C8E"/>
    <w:rsid w:val="004F527F"/>
    <w:rsid w:val="004F5E09"/>
    <w:rsid w:val="004F6408"/>
    <w:rsid w:val="0050013A"/>
    <w:rsid w:val="00500CFB"/>
    <w:rsid w:val="00500F62"/>
    <w:rsid w:val="005022B1"/>
    <w:rsid w:val="005048AF"/>
    <w:rsid w:val="00506135"/>
    <w:rsid w:val="00507D0A"/>
    <w:rsid w:val="00511AE4"/>
    <w:rsid w:val="005138BC"/>
    <w:rsid w:val="00514F04"/>
    <w:rsid w:val="00515087"/>
    <w:rsid w:val="005151B0"/>
    <w:rsid w:val="005153AF"/>
    <w:rsid w:val="00517734"/>
    <w:rsid w:val="005221B0"/>
    <w:rsid w:val="00523A44"/>
    <w:rsid w:val="00524E49"/>
    <w:rsid w:val="005264A9"/>
    <w:rsid w:val="00526D34"/>
    <w:rsid w:val="00530A44"/>
    <w:rsid w:val="00530C64"/>
    <w:rsid w:val="00530CE7"/>
    <w:rsid w:val="005325B3"/>
    <w:rsid w:val="0053437E"/>
    <w:rsid w:val="00536705"/>
    <w:rsid w:val="00540A0C"/>
    <w:rsid w:val="00541C60"/>
    <w:rsid w:val="005427D2"/>
    <w:rsid w:val="00542EB2"/>
    <w:rsid w:val="00543289"/>
    <w:rsid w:val="0054331C"/>
    <w:rsid w:val="005447B3"/>
    <w:rsid w:val="00544D82"/>
    <w:rsid w:val="00544D8F"/>
    <w:rsid w:val="00545587"/>
    <w:rsid w:val="0054569C"/>
    <w:rsid w:val="00547333"/>
    <w:rsid w:val="005511AD"/>
    <w:rsid w:val="00554A51"/>
    <w:rsid w:val="0055555D"/>
    <w:rsid w:val="005555F6"/>
    <w:rsid w:val="00561E60"/>
    <w:rsid w:val="00561EEF"/>
    <w:rsid w:val="00566FFE"/>
    <w:rsid w:val="00567987"/>
    <w:rsid w:val="005712CD"/>
    <w:rsid w:val="0057329B"/>
    <w:rsid w:val="00574494"/>
    <w:rsid w:val="00576322"/>
    <w:rsid w:val="00576736"/>
    <w:rsid w:val="00576854"/>
    <w:rsid w:val="0057686C"/>
    <w:rsid w:val="00580E95"/>
    <w:rsid w:val="00582911"/>
    <w:rsid w:val="0058505C"/>
    <w:rsid w:val="0058659F"/>
    <w:rsid w:val="0058741A"/>
    <w:rsid w:val="005900AB"/>
    <w:rsid w:val="00590109"/>
    <w:rsid w:val="0059261D"/>
    <w:rsid w:val="00593D70"/>
    <w:rsid w:val="005A007C"/>
    <w:rsid w:val="005A0105"/>
    <w:rsid w:val="005A5F0A"/>
    <w:rsid w:val="005A7F12"/>
    <w:rsid w:val="005B4109"/>
    <w:rsid w:val="005B41FC"/>
    <w:rsid w:val="005B46BB"/>
    <w:rsid w:val="005B6737"/>
    <w:rsid w:val="005B7D63"/>
    <w:rsid w:val="005C01DC"/>
    <w:rsid w:val="005C2238"/>
    <w:rsid w:val="005C2574"/>
    <w:rsid w:val="005C3F16"/>
    <w:rsid w:val="005C5914"/>
    <w:rsid w:val="005C61A2"/>
    <w:rsid w:val="005C781A"/>
    <w:rsid w:val="005C7FB3"/>
    <w:rsid w:val="005D1610"/>
    <w:rsid w:val="005D1651"/>
    <w:rsid w:val="005D17AB"/>
    <w:rsid w:val="005D183C"/>
    <w:rsid w:val="005D238F"/>
    <w:rsid w:val="005D2897"/>
    <w:rsid w:val="005E339A"/>
    <w:rsid w:val="005E4C29"/>
    <w:rsid w:val="005E51A3"/>
    <w:rsid w:val="005E5BFF"/>
    <w:rsid w:val="005F0090"/>
    <w:rsid w:val="005F036F"/>
    <w:rsid w:val="005F0D0D"/>
    <w:rsid w:val="005F0DCA"/>
    <w:rsid w:val="005F1932"/>
    <w:rsid w:val="005F4B2D"/>
    <w:rsid w:val="005F5A51"/>
    <w:rsid w:val="005F6B45"/>
    <w:rsid w:val="00600FEE"/>
    <w:rsid w:val="0060369B"/>
    <w:rsid w:val="00603CED"/>
    <w:rsid w:val="00605C7B"/>
    <w:rsid w:val="006078D6"/>
    <w:rsid w:val="00607FEA"/>
    <w:rsid w:val="0061002E"/>
    <w:rsid w:val="006119F8"/>
    <w:rsid w:val="00612A48"/>
    <w:rsid w:val="006139B7"/>
    <w:rsid w:val="00614424"/>
    <w:rsid w:val="00614707"/>
    <w:rsid w:val="00621518"/>
    <w:rsid w:val="00624145"/>
    <w:rsid w:val="00625319"/>
    <w:rsid w:val="0063255D"/>
    <w:rsid w:val="00633F65"/>
    <w:rsid w:val="006353E2"/>
    <w:rsid w:val="00635428"/>
    <w:rsid w:val="00635B65"/>
    <w:rsid w:val="00635EC1"/>
    <w:rsid w:val="00641CB8"/>
    <w:rsid w:val="006424AE"/>
    <w:rsid w:val="00651328"/>
    <w:rsid w:val="006526A9"/>
    <w:rsid w:val="006533A1"/>
    <w:rsid w:val="00654D5C"/>
    <w:rsid w:val="00655A88"/>
    <w:rsid w:val="00655FA7"/>
    <w:rsid w:val="00656AA0"/>
    <w:rsid w:val="00660450"/>
    <w:rsid w:val="006622F8"/>
    <w:rsid w:val="00662B7C"/>
    <w:rsid w:val="00662D89"/>
    <w:rsid w:val="00663265"/>
    <w:rsid w:val="006649A2"/>
    <w:rsid w:val="00664DE1"/>
    <w:rsid w:val="0066697D"/>
    <w:rsid w:val="006677AA"/>
    <w:rsid w:val="00667950"/>
    <w:rsid w:val="00671549"/>
    <w:rsid w:val="00672F51"/>
    <w:rsid w:val="00673604"/>
    <w:rsid w:val="00673FEF"/>
    <w:rsid w:val="00675029"/>
    <w:rsid w:val="00680E72"/>
    <w:rsid w:val="00682144"/>
    <w:rsid w:val="006833B1"/>
    <w:rsid w:val="006833C8"/>
    <w:rsid w:val="00685284"/>
    <w:rsid w:val="00691420"/>
    <w:rsid w:val="0069212E"/>
    <w:rsid w:val="00693216"/>
    <w:rsid w:val="00693CAC"/>
    <w:rsid w:val="00695E10"/>
    <w:rsid w:val="006970A6"/>
    <w:rsid w:val="006979F6"/>
    <w:rsid w:val="006A0AA3"/>
    <w:rsid w:val="006A0D5F"/>
    <w:rsid w:val="006A2649"/>
    <w:rsid w:val="006A3D5E"/>
    <w:rsid w:val="006A5F72"/>
    <w:rsid w:val="006A78F4"/>
    <w:rsid w:val="006B0D40"/>
    <w:rsid w:val="006B7738"/>
    <w:rsid w:val="006B7FF6"/>
    <w:rsid w:val="006C09A6"/>
    <w:rsid w:val="006C1741"/>
    <w:rsid w:val="006C1B18"/>
    <w:rsid w:val="006C26EC"/>
    <w:rsid w:val="006C335D"/>
    <w:rsid w:val="006C37DC"/>
    <w:rsid w:val="006C38FF"/>
    <w:rsid w:val="006C508A"/>
    <w:rsid w:val="006D3522"/>
    <w:rsid w:val="006D3692"/>
    <w:rsid w:val="006D3EC3"/>
    <w:rsid w:val="006D5ECF"/>
    <w:rsid w:val="006D7425"/>
    <w:rsid w:val="006E125D"/>
    <w:rsid w:val="006E12D4"/>
    <w:rsid w:val="006E1A7E"/>
    <w:rsid w:val="006E1BC4"/>
    <w:rsid w:val="006E4828"/>
    <w:rsid w:val="006E637A"/>
    <w:rsid w:val="006F019B"/>
    <w:rsid w:val="006F056E"/>
    <w:rsid w:val="006F3E20"/>
    <w:rsid w:val="006F5B40"/>
    <w:rsid w:val="00700F1C"/>
    <w:rsid w:val="00702B7F"/>
    <w:rsid w:val="00702EE2"/>
    <w:rsid w:val="0070554B"/>
    <w:rsid w:val="0070571A"/>
    <w:rsid w:val="0070584C"/>
    <w:rsid w:val="007100C4"/>
    <w:rsid w:val="00710AA2"/>
    <w:rsid w:val="00710F0E"/>
    <w:rsid w:val="0071248F"/>
    <w:rsid w:val="0071318E"/>
    <w:rsid w:val="00713A50"/>
    <w:rsid w:val="00720BB9"/>
    <w:rsid w:val="00725F86"/>
    <w:rsid w:val="00726F3D"/>
    <w:rsid w:val="00730E2C"/>
    <w:rsid w:val="00737634"/>
    <w:rsid w:val="00737A4C"/>
    <w:rsid w:val="00740933"/>
    <w:rsid w:val="00741092"/>
    <w:rsid w:val="00742B64"/>
    <w:rsid w:val="00742EC4"/>
    <w:rsid w:val="00744365"/>
    <w:rsid w:val="00746F90"/>
    <w:rsid w:val="00750130"/>
    <w:rsid w:val="00750BD1"/>
    <w:rsid w:val="00751F37"/>
    <w:rsid w:val="0075360E"/>
    <w:rsid w:val="007553E1"/>
    <w:rsid w:val="007577E5"/>
    <w:rsid w:val="00760BAD"/>
    <w:rsid w:val="007610F7"/>
    <w:rsid w:val="00762763"/>
    <w:rsid w:val="00763161"/>
    <w:rsid w:val="00767A10"/>
    <w:rsid w:val="00767E71"/>
    <w:rsid w:val="0077238A"/>
    <w:rsid w:val="007735C0"/>
    <w:rsid w:val="00773DDC"/>
    <w:rsid w:val="00774CC4"/>
    <w:rsid w:val="00775FC2"/>
    <w:rsid w:val="00776FDB"/>
    <w:rsid w:val="00780C93"/>
    <w:rsid w:val="00780FC5"/>
    <w:rsid w:val="0078197D"/>
    <w:rsid w:val="0078500E"/>
    <w:rsid w:val="007855A4"/>
    <w:rsid w:val="007857AB"/>
    <w:rsid w:val="00785D15"/>
    <w:rsid w:val="00786356"/>
    <w:rsid w:val="00787473"/>
    <w:rsid w:val="00787C48"/>
    <w:rsid w:val="007903EF"/>
    <w:rsid w:val="0079386D"/>
    <w:rsid w:val="00794007"/>
    <w:rsid w:val="00794422"/>
    <w:rsid w:val="00795241"/>
    <w:rsid w:val="00796652"/>
    <w:rsid w:val="00797ADD"/>
    <w:rsid w:val="007A32AB"/>
    <w:rsid w:val="007A3D47"/>
    <w:rsid w:val="007A73AA"/>
    <w:rsid w:val="007B4CE2"/>
    <w:rsid w:val="007B62EE"/>
    <w:rsid w:val="007B7250"/>
    <w:rsid w:val="007B790A"/>
    <w:rsid w:val="007C023B"/>
    <w:rsid w:val="007C283E"/>
    <w:rsid w:val="007C5568"/>
    <w:rsid w:val="007C588C"/>
    <w:rsid w:val="007C61FF"/>
    <w:rsid w:val="007D21FE"/>
    <w:rsid w:val="007D39A8"/>
    <w:rsid w:val="007D4419"/>
    <w:rsid w:val="007D7C10"/>
    <w:rsid w:val="007E33A1"/>
    <w:rsid w:val="007E4C35"/>
    <w:rsid w:val="007E602D"/>
    <w:rsid w:val="007E7059"/>
    <w:rsid w:val="007E7702"/>
    <w:rsid w:val="007F02E0"/>
    <w:rsid w:val="007F22AF"/>
    <w:rsid w:val="007F534E"/>
    <w:rsid w:val="007F7583"/>
    <w:rsid w:val="00801566"/>
    <w:rsid w:val="00801A18"/>
    <w:rsid w:val="00802588"/>
    <w:rsid w:val="0080270A"/>
    <w:rsid w:val="00803EF3"/>
    <w:rsid w:val="00806316"/>
    <w:rsid w:val="008067B2"/>
    <w:rsid w:val="00806EFE"/>
    <w:rsid w:val="00811CD6"/>
    <w:rsid w:val="00812700"/>
    <w:rsid w:val="008162EC"/>
    <w:rsid w:val="0082067C"/>
    <w:rsid w:val="00821D61"/>
    <w:rsid w:val="00822423"/>
    <w:rsid w:val="00822A45"/>
    <w:rsid w:val="00822C88"/>
    <w:rsid w:val="00823DD2"/>
    <w:rsid w:val="00825A5F"/>
    <w:rsid w:val="00825BBB"/>
    <w:rsid w:val="00827D3A"/>
    <w:rsid w:val="008331C0"/>
    <w:rsid w:val="00836527"/>
    <w:rsid w:val="00842606"/>
    <w:rsid w:val="00842AE2"/>
    <w:rsid w:val="00843EDB"/>
    <w:rsid w:val="0084438A"/>
    <w:rsid w:val="00851025"/>
    <w:rsid w:val="00851265"/>
    <w:rsid w:val="00854E10"/>
    <w:rsid w:val="008562DD"/>
    <w:rsid w:val="008567F2"/>
    <w:rsid w:val="00856A78"/>
    <w:rsid w:val="00856F52"/>
    <w:rsid w:val="00857844"/>
    <w:rsid w:val="00861BAB"/>
    <w:rsid w:val="00866DAB"/>
    <w:rsid w:val="008709C1"/>
    <w:rsid w:val="008715DD"/>
    <w:rsid w:val="0087334D"/>
    <w:rsid w:val="008756E7"/>
    <w:rsid w:val="00876997"/>
    <w:rsid w:val="00877AFF"/>
    <w:rsid w:val="00881837"/>
    <w:rsid w:val="00884452"/>
    <w:rsid w:val="00884E28"/>
    <w:rsid w:val="0088537F"/>
    <w:rsid w:val="0088582B"/>
    <w:rsid w:val="008902A8"/>
    <w:rsid w:val="00893C82"/>
    <w:rsid w:val="0089496A"/>
    <w:rsid w:val="008A011F"/>
    <w:rsid w:val="008A274F"/>
    <w:rsid w:val="008A44FE"/>
    <w:rsid w:val="008B0963"/>
    <w:rsid w:val="008B11F1"/>
    <w:rsid w:val="008B3B87"/>
    <w:rsid w:val="008B4E05"/>
    <w:rsid w:val="008B5795"/>
    <w:rsid w:val="008B6C1C"/>
    <w:rsid w:val="008B6EEC"/>
    <w:rsid w:val="008C280E"/>
    <w:rsid w:val="008C34D1"/>
    <w:rsid w:val="008C3E2F"/>
    <w:rsid w:val="008C6AAD"/>
    <w:rsid w:val="008D0966"/>
    <w:rsid w:val="008D1609"/>
    <w:rsid w:val="008D3EF1"/>
    <w:rsid w:val="008D48D2"/>
    <w:rsid w:val="008D6373"/>
    <w:rsid w:val="008D7BDA"/>
    <w:rsid w:val="008E03EF"/>
    <w:rsid w:val="008E7586"/>
    <w:rsid w:val="008E76D8"/>
    <w:rsid w:val="008F0DCC"/>
    <w:rsid w:val="008F15FA"/>
    <w:rsid w:val="008F4428"/>
    <w:rsid w:val="008F6885"/>
    <w:rsid w:val="008F75E4"/>
    <w:rsid w:val="008F7A3C"/>
    <w:rsid w:val="00906EE2"/>
    <w:rsid w:val="0090732F"/>
    <w:rsid w:val="00907708"/>
    <w:rsid w:val="00912A7D"/>
    <w:rsid w:val="009143E7"/>
    <w:rsid w:val="00916126"/>
    <w:rsid w:val="009174C8"/>
    <w:rsid w:val="009208E5"/>
    <w:rsid w:val="0092123D"/>
    <w:rsid w:val="00921305"/>
    <w:rsid w:val="009235E9"/>
    <w:rsid w:val="00925E24"/>
    <w:rsid w:val="00926BB5"/>
    <w:rsid w:val="00930CC6"/>
    <w:rsid w:val="00932654"/>
    <w:rsid w:val="009329A8"/>
    <w:rsid w:val="00932E08"/>
    <w:rsid w:val="00933090"/>
    <w:rsid w:val="00933568"/>
    <w:rsid w:val="00935DED"/>
    <w:rsid w:val="00935DF3"/>
    <w:rsid w:val="009360B8"/>
    <w:rsid w:val="00940041"/>
    <w:rsid w:val="009400A7"/>
    <w:rsid w:val="00940184"/>
    <w:rsid w:val="0094157D"/>
    <w:rsid w:val="0094204D"/>
    <w:rsid w:val="0094338E"/>
    <w:rsid w:val="009450EE"/>
    <w:rsid w:val="00945217"/>
    <w:rsid w:val="00947541"/>
    <w:rsid w:val="009479C7"/>
    <w:rsid w:val="009511C1"/>
    <w:rsid w:val="00951F3F"/>
    <w:rsid w:val="00955F5F"/>
    <w:rsid w:val="0096086A"/>
    <w:rsid w:val="0096265A"/>
    <w:rsid w:val="00962F04"/>
    <w:rsid w:val="00965B14"/>
    <w:rsid w:val="009723A9"/>
    <w:rsid w:val="00973FBF"/>
    <w:rsid w:val="00977006"/>
    <w:rsid w:val="0098132A"/>
    <w:rsid w:val="00981EA3"/>
    <w:rsid w:val="009846BF"/>
    <w:rsid w:val="00984C51"/>
    <w:rsid w:val="00986002"/>
    <w:rsid w:val="00987000"/>
    <w:rsid w:val="00991671"/>
    <w:rsid w:val="009944F5"/>
    <w:rsid w:val="009A1674"/>
    <w:rsid w:val="009A288F"/>
    <w:rsid w:val="009A410A"/>
    <w:rsid w:val="009A6918"/>
    <w:rsid w:val="009A69A8"/>
    <w:rsid w:val="009A7F27"/>
    <w:rsid w:val="009B1CC7"/>
    <w:rsid w:val="009B238A"/>
    <w:rsid w:val="009B371C"/>
    <w:rsid w:val="009B3D8F"/>
    <w:rsid w:val="009B3FDB"/>
    <w:rsid w:val="009B4BF4"/>
    <w:rsid w:val="009B4FE6"/>
    <w:rsid w:val="009B5A11"/>
    <w:rsid w:val="009B5D16"/>
    <w:rsid w:val="009B66CD"/>
    <w:rsid w:val="009B7C67"/>
    <w:rsid w:val="009C0000"/>
    <w:rsid w:val="009C1BAF"/>
    <w:rsid w:val="009C21F8"/>
    <w:rsid w:val="009C6FD2"/>
    <w:rsid w:val="009D0511"/>
    <w:rsid w:val="009D0E66"/>
    <w:rsid w:val="009D2551"/>
    <w:rsid w:val="009D2B41"/>
    <w:rsid w:val="009D3C02"/>
    <w:rsid w:val="009D3D5B"/>
    <w:rsid w:val="009D7933"/>
    <w:rsid w:val="009E12E0"/>
    <w:rsid w:val="009E158C"/>
    <w:rsid w:val="009E197F"/>
    <w:rsid w:val="009E2C96"/>
    <w:rsid w:val="009E4F62"/>
    <w:rsid w:val="009E6CE0"/>
    <w:rsid w:val="009F0150"/>
    <w:rsid w:val="009F05F1"/>
    <w:rsid w:val="009F1237"/>
    <w:rsid w:val="009F1A70"/>
    <w:rsid w:val="009F50B6"/>
    <w:rsid w:val="009F5E3B"/>
    <w:rsid w:val="009F7EDD"/>
    <w:rsid w:val="00A005AF"/>
    <w:rsid w:val="00A019B6"/>
    <w:rsid w:val="00A01C8C"/>
    <w:rsid w:val="00A02763"/>
    <w:rsid w:val="00A05AC0"/>
    <w:rsid w:val="00A11FC5"/>
    <w:rsid w:val="00A202A1"/>
    <w:rsid w:val="00A219D2"/>
    <w:rsid w:val="00A244E5"/>
    <w:rsid w:val="00A274DF"/>
    <w:rsid w:val="00A279C8"/>
    <w:rsid w:val="00A34C78"/>
    <w:rsid w:val="00A34FDF"/>
    <w:rsid w:val="00A42071"/>
    <w:rsid w:val="00A43286"/>
    <w:rsid w:val="00A43B09"/>
    <w:rsid w:val="00A44DF1"/>
    <w:rsid w:val="00A455C5"/>
    <w:rsid w:val="00A50231"/>
    <w:rsid w:val="00A53AE2"/>
    <w:rsid w:val="00A557B2"/>
    <w:rsid w:val="00A60AA3"/>
    <w:rsid w:val="00A66CF5"/>
    <w:rsid w:val="00A743C7"/>
    <w:rsid w:val="00A7698C"/>
    <w:rsid w:val="00A8287A"/>
    <w:rsid w:val="00A85A69"/>
    <w:rsid w:val="00A869F9"/>
    <w:rsid w:val="00A87442"/>
    <w:rsid w:val="00A87633"/>
    <w:rsid w:val="00A90B0F"/>
    <w:rsid w:val="00A9212A"/>
    <w:rsid w:val="00A941F7"/>
    <w:rsid w:val="00A95AA1"/>
    <w:rsid w:val="00A95F99"/>
    <w:rsid w:val="00A96E7C"/>
    <w:rsid w:val="00AA0508"/>
    <w:rsid w:val="00AA12C8"/>
    <w:rsid w:val="00AA217E"/>
    <w:rsid w:val="00AA4058"/>
    <w:rsid w:val="00AA5305"/>
    <w:rsid w:val="00AA71E8"/>
    <w:rsid w:val="00AB5F2D"/>
    <w:rsid w:val="00AB6823"/>
    <w:rsid w:val="00AB7CF7"/>
    <w:rsid w:val="00AC493C"/>
    <w:rsid w:val="00AC5F3A"/>
    <w:rsid w:val="00AD169B"/>
    <w:rsid w:val="00AD17F8"/>
    <w:rsid w:val="00AD20FC"/>
    <w:rsid w:val="00AD2298"/>
    <w:rsid w:val="00AD4D35"/>
    <w:rsid w:val="00AD6A43"/>
    <w:rsid w:val="00AE2CF4"/>
    <w:rsid w:val="00AE50A6"/>
    <w:rsid w:val="00AE58E0"/>
    <w:rsid w:val="00AF0D9E"/>
    <w:rsid w:val="00AF181C"/>
    <w:rsid w:val="00AF2F7E"/>
    <w:rsid w:val="00AF62A9"/>
    <w:rsid w:val="00B01ABC"/>
    <w:rsid w:val="00B025F6"/>
    <w:rsid w:val="00B02B0F"/>
    <w:rsid w:val="00B03280"/>
    <w:rsid w:val="00B039D8"/>
    <w:rsid w:val="00B03DD9"/>
    <w:rsid w:val="00B04972"/>
    <w:rsid w:val="00B06347"/>
    <w:rsid w:val="00B079C0"/>
    <w:rsid w:val="00B10334"/>
    <w:rsid w:val="00B13182"/>
    <w:rsid w:val="00B13F88"/>
    <w:rsid w:val="00B157B5"/>
    <w:rsid w:val="00B168A8"/>
    <w:rsid w:val="00B22972"/>
    <w:rsid w:val="00B23294"/>
    <w:rsid w:val="00B250E3"/>
    <w:rsid w:val="00B25763"/>
    <w:rsid w:val="00B2615C"/>
    <w:rsid w:val="00B27838"/>
    <w:rsid w:val="00B3183E"/>
    <w:rsid w:val="00B31E1F"/>
    <w:rsid w:val="00B33F12"/>
    <w:rsid w:val="00B34184"/>
    <w:rsid w:val="00B37AC1"/>
    <w:rsid w:val="00B402AB"/>
    <w:rsid w:val="00B405C1"/>
    <w:rsid w:val="00B42BD2"/>
    <w:rsid w:val="00B44377"/>
    <w:rsid w:val="00B450D8"/>
    <w:rsid w:val="00B45EC0"/>
    <w:rsid w:val="00B468F8"/>
    <w:rsid w:val="00B471D8"/>
    <w:rsid w:val="00B475CA"/>
    <w:rsid w:val="00B5148C"/>
    <w:rsid w:val="00B51DE9"/>
    <w:rsid w:val="00B51ECA"/>
    <w:rsid w:val="00B54A50"/>
    <w:rsid w:val="00B54DE7"/>
    <w:rsid w:val="00B55209"/>
    <w:rsid w:val="00B55274"/>
    <w:rsid w:val="00B60F15"/>
    <w:rsid w:val="00B6389C"/>
    <w:rsid w:val="00B67BBC"/>
    <w:rsid w:val="00B67C74"/>
    <w:rsid w:val="00B71775"/>
    <w:rsid w:val="00B71988"/>
    <w:rsid w:val="00B801E5"/>
    <w:rsid w:val="00B80A49"/>
    <w:rsid w:val="00B83A87"/>
    <w:rsid w:val="00B8536D"/>
    <w:rsid w:val="00B9066C"/>
    <w:rsid w:val="00B924B9"/>
    <w:rsid w:val="00B94EDA"/>
    <w:rsid w:val="00BA080F"/>
    <w:rsid w:val="00BA4055"/>
    <w:rsid w:val="00BA7008"/>
    <w:rsid w:val="00BA711D"/>
    <w:rsid w:val="00BB1787"/>
    <w:rsid w:val="00BB1EB9"/>
    <w:rsid w:val="00BB31EF"/>
    <w:rsid w:val="00BB513D"/>
    <w:rsid w:val="00BB620A"/>
    <w:rsid w:val="00BB7369"/>
    <w:rsid w:val="00BC43E5"/>
    <w:rsid w:val="00BC464E"/>
    <w:rsid w:val="00BC798C"/>
    <w:rsid w:val="00BD2F5F"/>
    <w:rsid w:val="00BD55B3"/>
    <w:rsid w:val="00BE05A8"/>
    <w:rsid w:val="00BE446E"/>
    <w:rsid w:val="00BE4C62"/>
    <w:rsid w:val="00BE589C"/>
    <w:rsid w:val="00BE5D8A"/>
    <w:rsid w:val="00BE62E0"/>
    <w:rsid w:val="00BF0232"/>
    <w:rsid w:val="00BF0F07"/>
    <w:rsid w:val="00BF1180"/>
    <w:rsid w:val="00BF1CEA"/>
    <w:rsid w:val="00BF30A1"/>
    <w:rsid w:val="00BF343F"/>
    <w:rsid w:val="00BF5DF9"/>
    <w:rsid w:val="00BF6585"/>
    <w:rsid w:val="00BF6F02"/>
    <w:rsid w:val="00BF732C"/>
    <w:rsid w:val="00C054C0"/>
    <w:rsid w:val="00C060A6"/>
    <w:rsid w:val="00C06920"/>
    <w:rsid w:val="00C06E1D"/>
    <w:rsid w:val="00C11816"/>
    <w:rsid w:val="00C11975"/>
    <w:rsid w:val="00C11ADC"/>
    <w:rsid w:val="00C12EC4"/>
    <w:rsid w:val="00C14284"/>
    <w:rsid w:val="00C14307"/>
    <w:rsid w:val="00C150D0"/>
    <w:rsid w:val="00C16903"/>
    <w:rsid w:val="00C16DFA"/>
    <w:rsid w:val="00C2302C"/>
    <w:rsid w:val="00C23D67"/>
    <w:rsid w:val="00C2487D"/>
    <w:rsid w:val="00C26615"/>
    <w:rsid w:val="00C30F52"/>
    <w:rsid w:val="00C31998"/>
    <w:rsid w:val="00C33DC6"/>
    <w:rsid w:val="00C35A78"/>
    <w:rsid w:val="00C37BFA"/>
    <w:rsid w:val="00C419A6"/>
    <w:rsid w:val="00C44518"/>
    <w:rsid w:val="00C51D6B"/>
    <w:rsid w:val="00C53470"/>
    <w:rsid w:val="00C5359D"/>
    <w:rsid w:val="00C606A6"/>
    <w:rsid w:val="00C62DFC"/>
    <w:rsid w:val="00C638CA"/>
    <w:rsid w:val="00C65150"/>
    <w:rsid w:val="00C65DCA"/>
    <w:rsid w:val="00C665AF"/>
    <w:rsid w:val="00C66E75"/>
    <w:rsid w:val="00C72054"/>
    <w:rsid w:val="00C7613F"/>
    <w:rsid w:val="00C761A8"/>
    <w:rsid w:val="00C76783"/>
    <w:rsid w:val="00C76BCA"/>
    <w:rsid w:val="00C76E0D"/>
    <w:rsid w:val="00C8306E"/>
    <w:rsid w:val="00C83C2B"/>
    <w:rsid w:val="00C840AC"/>
    <w:rsid w:val="00C91B81"/>
    <w:rsid w:val="00C922FD"/>
    <w:rsid w:val="00C92B00"/>
    <w:rsid w:val="00C971F6"/>
    <w:rsid w:val="00CA083E"/>
    <w:rsid w:val="00CA0DA7"/>
    <w:rsid w:val="00CA4DDD"/>
    <w:rsid w:val="00CB1521"/>
    <w:rsid w:val="00CB3218"/>
    <w:rsid w:val="00CB45A1"/>
    <w:rsid w:val="00CB7C86"/>
    <w:rsid w:val="00CB7E84"/>
    <w:rsid w:val="00CC138D"/>
    <w:rsid w:val="00CC2836"/>
    <w:rsid w:val="00CC4E56"/>
    <w:rsid w:val="00CC6180"/>
    <w:rsid w:val="00CC6985"/>
    <w:rsid w:val="00CC7839"/>
    <w:rsid w:val="00CC79D2"/>
    <w:rsid w:val="00CD11FA"/>
    <w:rsid w:val="00CD13FC"/>
    <w:rsid w:val="00CD18A0"/>
    <w:rsid w:val="00CD53C1"/>
    <w:rsid w:val="00CD5C9A"/>
    <w:rsid w:val="00CD66FF"/>
    <w:rsid w:val="00CD74B6"/>
    <w:rsid w:val="00CE01C1"/>
    <w:rsid w:val="00CE37E0"/>
    <w:rsid w:val="00CE4115"/>
    <w:rsid w:val="00CE492E"/>
    <w:rsid w:val="00CE5ACA"/>
    <w:rsid w:val="00CE6152"/>
    <w:rsid w:val="00CF2569"/>
    <w:rsid w:val="00CF2639"/>
    <w:rsid w:val="00CF30AE"/>
    <w:rsid w:val="00CF355C"/>
    <w:rsid w:val="00CF4640"/>
    <w:rsid w:val="00D031D9"/>
    <w:rsid w:val="00D032D0"/>
    <w:rsid w:val="00D03BC8"/>
    <w:rsid w:val="00D04625"/>
    <w:rsid w:val="00D07A1C"/>
    <w:rsid w:val="00D1090A"/>
    <w:rsid w:val="00D111E5"/>
    <w:rsid w:val="00D1624B"/>
    <w:rsid w:val="00D202E8"/>
    <w:rsid w:val="00D22482"/>
    <w:rsid w:val="00D23DCD"/>
    <w:rsid w:val="00D27913"/>
    <w:rsid w:val="00D30169"/>
    <w:rsid w:val="00D32BE0"/>
    <w:rsid w:val="00D3618D"/>
    <w:rsid w:val="00D36DCA"/>
    <w:rsid w:val="00D40BD1"/>
    <w:rsid w:val="00D42156"/>
    <w:rsid w:val="00D44D66"/>
    <w:rsid w:val="00D50354"/>
    <w:rsid w:val="00D51CEC"/>
    <w:rsid w:val="00D52D73"/>
    <w:rsid w:val="00D546F5"/>
    <w:rsid w:val="00D55CFF"/>
    <w:rsid w:val="00D612D0"/>
    <w:rsid w:val="00D6478C"/>
    <w:rsid w:val="00D66C0B"/>
    <w:rsid w:val="00D7051E"/>
    <w:rsid w:val="00D71F69"/>
    <w:rsid w:val="00D72726"/>
    <w:rsid w:val="00D72C58"/>
    <w:rsid w:val="00D7509F"/>
    <w:rsid w:val="00D77D72"/>
    <w:rsid w:val="00D83ACE"/>
    <w:rsid w:val="00D85CAF"/>
    <w:rsid w:val="00D87434"/>
    <w:rsid w:val="00D93308"/>
    <w:rsid w:val="00D935A6"/>
    <w:rsid w:val="00D94D73"/>
    <w:rsid w:val="00D97C2D"/>
    <w:rsid w:val="00D97E43"/>
    <w:rsid w:val="00DA06BD"/>
    <w:rsid w:val="00DA0FB1"/>
    <w:rsid w:val="00DA11C4"/>
    <w:rsid w:val="00DA1837"/>
    <w:rsid w:val="00DA2743"/>
    <w:rsid w:val="00DA28CE"/>
    <w:rsid w:val="00DA4898"/>
    <w:rsid w:val="00DA4D85"/>
    <w:rsid w:val="00DB0D33"/>
    <w:rsid w:val="00DB1403"/>
    <w:rsid w:val="00DB226B"/>
    <w:rsid w:val="00DB286C"/>
    <w:rsid w:val="00DB4E39"/>
    <w:rsid w:val="00DB7429"/>
    <w:rsid w:val="00DB7DB4"/>
    <w:rsid w:val="00DC1FEE"/>
    <w:rsid w:val="00DC44F5"/>
    <w:rsid w:val="00DC6168"/>
    <w:rsid w:val="00DC7654"/>
    <w:rsid w:val="00DC7811"/>
    <w:rsid w:val="00DD0F4A"/>
    <w:rsid w:val="00DD105D"/>
    <w:rsid w:val="00DD10EA"/>
    <w:rsid w:val="00DE2462"/>
    <w:rsid w:val="00DE2623"/>
    <w:rsid w:val="00DE4123"/>
    <w:rsid w:val="00DE4442"/>
    <w:rsid w:val="00DE771E"/>
    <w:rsid w:val="00DF2F9A"/>
    <w:rsid w:val="00DF4D63"/>
    <w:rsid w:val="00DF609C"/>
    <w:rsid w:val="00DF6253"/>
    <w:rsid w:val="00DF66DB"/>
    <w:rsid w:val="00E00F9C"/>
    <w:rsid w:val="00E107AC"/>
    <w:rsid w:val="00E10D72"/>
    <w:rsid w:val="00E123EE"/>
    <w:rsid w:val="00E128A5"/>
    <w:rsid w:val="00E12D92"/>
    <w:rsid w:val="00E13A0E"/>
    <w:rsid w:val="00E14A20"/>
    <w:rsid w:val="00E16C81"/>
    <w:rsid w:val="00E172BA"/>
    <w:rsid w:val="00E17779"/>
    <w:rsid w:val="00E17D20"/>
    <w:rsid w:val="00E202AD"/>
    <w:rsid w:val="00E229CF"/>
    <w:rsid w:val="00E237B5"/>
    <w:rsid w:val="00E25E3E"/>
    <w:rsid w:val="00E2725D"/>
    <w:rsid w:val="00E2778B"/>
    <w:rsid w:val="00E34500"/>
    <w:rsid w:val="00E3512E"/>
    <w:rsid w:val="00E35B62"/>
    <w:rsid w:val="00E4127B"/>
    <w:rsid w:val="00E41354"/>
    <w:rsid w:val="00E41584"/>
    <w:rsid w:val="00E415FE"/>
    <w:rsid w:val="00E43218"/>
    <w:rsid w:val="00E43B83"/>
    <w:rsid w:val="00E43F0E"/>
    <w:rsid w:val="00E447DF"/>
    <w:rsid w:val="00E452AB"/>
    <w:rsid w:val="00E50490"/>
    <w:rsid w:val="00E52230"/>
    <w:rsid w:val="00E52ABC"/>
    <w:rsid w:val="00E530A1"/>
    <w:rsid w:val="00E53972"/>
    <w:rsid w:val="00E547AB"/>
    <w:rsid w:val="00E56E17"/>
    <w:rsid w:val="00E623F5"/>
    <w:rsid w:val="00E62BE2"/>
    <w:rsid w:val="00E64C90"/>
    <w:rsid w:val="00E67DF6"/>
    <w:rsid w:val="00E7106B"/>
    <w:rsid w:val="00E71621"/>
    <w:rsid w:val="00E731F1"/>
    <w:rsid w:val="00E743C6"/>
    <w:rsid w:val="00E8041D"/>
    <w:rsid w:val="00E83225"/>
    <w:rsid w:val="00E90C69"/>
    <w:rsid w:val="00E961F7"/>
    <w:rsid w:val="00EA1ED1"/>
    <w:rsid w:val="00EA483B"/>
    <w:rsid w:val="00EA4F92"/>
    <w:rsid w:val="00EB23D2"/>
    <w:rsid w:val="00EB3039"/>
    <w:rsid w:val="00EB389A"/>
    <w:rsid w:val="00EB4182"/>
    <w:rsid w:val="00EB4C50"/>
    <w:rsid w:val="00EB56C1"/>
    <w:rsid w:val="00EB6E95"/>
    <w:rsid w:val="00EB7DFC"/>
    <w:rsid w:val="00EC2A13"/>
    <w:rsid w:val="00EC66DE"/>
    <w:rsid w:val="00ED14C7"/>
    <w:rsid w:val="00ED3130"/>
    <w:rsid w:val="00ED6444"/>
    <w:rsid w:val="00ED6A51"/>
    <w:rsid w:val="00EE11E2"/>
    <w:rsid w:val="00EE2FE9"/>
    <w:rsid w:val="00EE4F4F"/>
    <w:rsid w:val="00EE75A3"/>
    <w:rsid w:val="00EE7A06"/>
    <w:rsid w:val="00EF0B95"/>
    <w:rsid w:val="00EF2ECC"/>
    <w:rsid w:val="00EF35DD"/>
    <w:rsid w:val="00EF5EB6"/>
    <w:rsid w:val="00EF6F2E"/>
    <w:rsid w:val="00EF71CB"/>
    <w:rsid w:val="00F0224F"/>
    <w:rsid w:val="00F049C2"/>
    <w:rsid w:val="00F04C14"/>
    <w:rsid w:val="00F05485"/>
    <w:rsid w:val="00F1067D"/>
    <w:rsid w:val="00F1209C"/>
    <w:rsid w:val="00F15AA9"/>
    <w:rsid w:val="00F16E69"/>
    <w:rsid w:val="00F20F82"/>
    <w:rsid w:val="00F243E9"/>
    <w:rsid w:val="00F26732"/>
    <w:rsid w:val="00F30012"/>
    <w:rsid w:val="00F31CC3"/>
    <w:rsid w:val="00F33B11"/>
    <w:rsid w:val="00F3661A"/>
    <w:rsid w:val="00F416FA"/>
    <w:rsid w:val="00F41C15"/>
    <w:rsid w:val="00F42FCE"/>
    <w:rsid w:val="00F5284C"/>
    <w:rsid w:val="00F5297E"/>
    <w:rsid w:val="00F53489"/>
    <w:rsid w:val="00F5582D"/>
    <w:rsid w:val="00F55DA1"/>
    <w:rsid w:val="00F621BD"/>
    <w:rsid w:val="00F7275C"/>
    <w:rsid w:val="00F76DE2"/>
    <w:rsid w:val="00F7787B"/>
    <w:rsid w:val="00F80315"/>
    <w:rsid w:val="00F82645"/>
    <w:rsid w:val="00F82B37"/>
    <w:rsid w:val="00F84741"/>
    <w:rsid w:val="00F84ADC"/>
    <w:rsid w:val="00F84DAE"/>
    <w:rsid w:val="00F87973"/>
    <w:rsid w:val="00F87B0E"/>
    <w:rsid w:val="00F92497"/>
    <w:rsid w:val="00F937C3"/>
    <w:rsid w:val="00F93E14"/>
    <w:rsid w:val="00F94A60"/>
    <w:rsid w:val="00F96631"/>
    <w:rsid w:val="00FA1693"/>
    <w:rsid w:val="00FA34CB"/>
    <w:rsid w:val="00FA7A48"/>
    <w:rsid w:val="00FB0A7E"/>
    <w:rsid w:val="00FB2308"/>
    <w:rsid w:val="00FB2BD7"/>
    <w:rsid w:val="00FB4159"/>
    <w:rsid w:val="00FB415E"/>
    <w:rsid w:val="00FB4671"/>
    <w:rsid w:val="00FB53A3"/>
    <w:rsid w:val="00FB7C8A"/>
    <w:rsid w:val="00FB7F0A"/>
    <w:rsid w:val="00FB7F2C"/>
    <w:rsid w:val="00FC244A"/>
    <w:rsid w:val="00FC7B13"/>
    <w:rsid w:val="00FD232F"/>
    <w:rsid w:val="00FD4A32"/>
    <w:rsid w:val="00FD4D4C"/>
    <w:rsid w:val="00FD5B90"/>
    <w:rsid w:val="00FD5BDB"/>
    <w:rsid w:val="00FD7B8E"/>
    <w:rsid w:val="00FE04FD"/>
    <w:rsid w:val="00FE13EC"/>
    <w:rsid w:val="00FE5911"/>
    <w:rsid w:val="00FE6182"/>
    <w:rsid w:val="00FE6B8D"/>
    <w:rsid w:val="00FE7EA8"/>
    <w:rsid w:val="00FF0CDC"/>
    <w:rsid w:val="00FF2048"/>
    <w:rsid w:val="00FF33D3"/>
    <w:rsid w:val="00FF7C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E4C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29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929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653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B4BF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4018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929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93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9293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92935"/>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40DFD"/>
    <w:pPr>
      <w:ind w:left="720"/>
      <w:contextualSpacing/>
    </w:pPr>
  </w:style>
  <w:style w:type="character" w:customStyle="1" w:styleId="Heading3Char">
    <w:name w:val="Heading 3 Char"/>
    <w:basedOn w:val="DefaultParagraphFont"/>
    <w:link w:val="Heading3"/>
    <w:uiPriority w:val="9"/>
    <w:rsid w:val="0036539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B4BF4"/>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046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7CF"/>
    <w:rPr>
      <w:rFonts w:ascii="Tahoma" w:hAnsi="Tahoma" w:cs="Tahoma"/>
      <w:sz w:val="16"/>
      <w:szCs w:val="16"/>
    </w:rPr>
  </w:style>
  <w:style w:type="character" w:styleId="CommentReference">
    <w:name w:val="annotation reference"/>
    <w:basedOn w:val="DefaultParagraphFont"/>
    <w:uiPriority w:val="99"/>
    <w:semiHidden/>
    <w:unhideWhenUsed/>
    <w:rsid w:val="000467CF"/>
    <w:rPr>
      <w:sz w:val="16"/>
      <w:szCs w:val="16"/>
    </w:rPr>
  </w:style>
  <w:style w:type="paragraph" w:styleId="CommentText">
    <w:name w:val="annotation text"/>
    <w:basedOn w:val="Normal"/>
    <w:link w:val="CommentTextChar"/>
    <w:uiPriority w:val="99"/>
    <w:semiHidden/>
    <w:unhideWhenUsed/>
    <w:rsid w:val="000467CF"/>
    <w:pPr>
      <w:spacing w:line="240" w:lineRule="auto"/>
    </w:pPr>
    <w:rPr>
      <w:sz w:val="20"/>
      <w:szCs w:val="20"/>
    </w:rPr>
  </w:style>
  <w:style w:type="character" w:customStyle="1" w:styleId="CommentTextChar">
    <w:name w:val="Comment Text Char"/>
    <w:basedOn w:val="DefaultParagraphFont"/>
    <w:link w:val="CommentText"/>
    <w:uiPriority w:val="99"/>
    <w:semiHidden/>
    <w:rsid w:val="000467CF"/>
    <w:rPr>
      <w:sz w:val="20"/>
      <w:szCs w:val="20"/>
    </w:rPr>
  </w:style>
  <w:style w:type="paragraph" w:styleId="CommentSubject">
    <w:name w:val="annotation subject"/>
    <w:basedOn w:val="CommentText"/>
    <w:next w:val="CommentText"/>
    <w:link w:val="CommentSubjectChar"/>
    <w:uiPriority w:val="99"/>
    <w:semiHidden/>
    <w:unhideWhenUsed/>
    <w:rsid w:val="000467CF"/>
    <w:rPr>
      <w:b/>
      <w:bCs/>
    </w:rPr>
  </w:style>
  <w:style w:type="character" w:customStyle="1" w:styleId="CommentSubjectChar">
    <w:name w:val="Comment Subject Char"/>
    <w:basedOn w:val="CommentTextChar"/>
    <w:link w:val="CommentSubject"/>
    <w:uiPriority w:val="99"/>
    <w:semiHidden/>
    <w:rsid w:val="000467CF"/>
    <w:rPr>
      <w:b/>
      <w:bCs/>
      <w:sz w:val="20"/>
      <w:szCs w:val="20"/>
    </w:rPr>
  </w:style>
  <w:style w:type="paragraph" w:styleId="Revision">
    <w:name w:val="Revision"/>
    <w:hidden/>
    <w:uiPriority w:val="99"/>
    <w:semiHidden/>
    <w:rsid w:val="00F3661A"/>
    <w:pPr>
      <w:spacing w:after="0" w:line="240" w:lineRule="auto"/>
    </w:pPr>
  </w:style>
  <w:style w:type="paragraph" w:styleId="Subtitle">
    <w:name w:val="Subtitle"/>
    <w:basedOn w:val="Normal"/>
    <w:next w:val="Normal"/>
    <w:link w:val="SubtitleChar"/>
    <w:uiPriority w:val="11"/>
    <w:qFormat/>
    <w:rsid w:val="00467F4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67F46"/>
    <w:rPr>
      <w:rFonts w:eastAsiaTheme="minorEastAsia"/>
      <w:color w:val="5A5A5A" w:themeColor="text1" w:themeTint="A5"/>
      <w:spacing w:val="15"/>
    </w:rPr>
  </w:style>
  <w:style w:type="character" w:customStyle="1" w:styleId="Heading5Char">
    <w:name w:val="Heading 5 Char"/>
    <w:basedOn w:val="DefaultParagraphFont"/>
    <w:link w:val="Heading5"/>
    <w:uiPriority w:val="9"/>
    <w:rsid w:val="00940184"/>
    <w:rPr>
      <w:rFonts w:asciiTheme="majorHAnsi" w:eastAsiaTheme="majorEastAsia" w:hAnsiTheme="majorHAnsi" w:cstheme="majorBidi"/>
      <w:color w:val="2E74B5" w:themeColor="accent1" w:themeShade="BF"/>
    </w:rPr>
  </w:style>
  <w:style w:type="character" w:customStyle="1" w:styleId="gmail-im">
    <w:name w:val="gmail-im"/>
    <w:basedOn w:val="DefaultParagraphFont"/>
    <w:rsid w:val="008D0966"/>
  </w:style>
  <w:style w:type="paragraph" w:styleId="Bibliography">
    <w:name w:val="Bibliography"/>
    <w:basedOn w:val="Normal"/>
    <w:next w:val="Normal"/>
    <w:uiPriority w:val="37"/>
    <w:unhideWhenUsed/>
    <w:rsid w:val="005138BC"/>
    <w:pPr>
      <w:tabs>
        <w:tab w:val="left" w:pos="384"/>
      </w:tabs>
      <w:spacing w:after="0" w:line="240" w:lineRule="auto"/>
      <w:ind w:left="384" w:hanging="384"/>
    </w:pPr>
  </w:style>
  <w:style w:type="paragraph" w:styleId="TOCHeading">
    <w:name w:val="TOC Heading"/>
    <w:basedOn w:val="Heading1"/>
    <w:next w:val="Normal"/>
    <w:uiPriority w:val="39"/>
    <w:unhideWhenUsed/>
    <w:qFormat/>
    <w:rsid w:val="006F5B40"/>
    <w:pPr>
      <w:outlineLvl w:val="9"/>
    </w:pPr>
  </w:style>
  <w:style w:type="paragraph" w:styleId="TOC1">
    <w:name w:val="toc 1"/>
    <w:basedOn w:val="Normal"/>
    <w:next w:val="Normal"/>
    <w:autoRedefine/>
    <w:uiPriority w:val="39"/>
    <w:unhideWhenUsed/>
    <w:rsid w:val="006F5B40"/>
    <w:pPr>
      <w:spacing w:after="100"/>
    </w:pPr>
  </w:style>
  <w:style w:type="paragraph" w:styleId="TOC2">
    <w:name w:val="toc 2"/>
    <w:basedOn w:val="Normal"/>
    <w:next w:val="Normal"/>
    <w:autoRedefine/>
    <w:uiPriority w:val="39"/>
    <w:unhideWhenUsed/>
    <w:rsid w:val="006F5B40"/>
    <w:pPr>
      <w:spacing w:after="100"/>
      <w:ind w:left="220"/>
    </w:pPr>
  </w:style>
  <w:style w:type="paragraph" w:styleId="TOC3">
    <w:name w:val="toc 3"/>
    <w:basedOn w:val="Normal"/>
    <w:next w:val="Normal"/>
    <w:autoRedefine/>
    <w:uiPriority w:val="39"/>
    <w:unhideWhenUsed/>
    <w:rsid w:val="006F5B40"/>
    <w:pPr>
      <w:spacing w:after="100"/>
      <w:ind w:left="440"/>
    </w:pPr>
  </w:style>
  <w:style w:type="character" w:styleId="Hyperlink">
    <w:name w:val="Hyperlink"/>
    <w:basedOn w:val="DefaultParagraphFont"/>
    <w:uiPriority w:val="99"/>
    <w:unhideWhenUsed/>
    <w:rsid w:val="006F5B40"/>
    <w:rPr>
      <w:color w:val="0563C1" w:themeColor="hyperlink"/>
      <w:u w:val="single"/>
    </w:rPr>
  </w:style>
  <w:style w:type="character" w:styleId="FollowedHyperlink">
    <w:name w:val="FollowedHyperlink"/>
    <w:basedOn w:val="DefaultParagraphFont"/>
    <w:uiPriority w:val="99"/>
    <w:semiHidden/>
    <w:unhideWhenUsed/>
    <w:rsid w:val="009B4FE6"/>
    <w:rPr>
      <w:color w:val="954F72" w:themeColor="followedHyperlink"/>
      <w:u w:val="single"/>
    </w:rPr>
  </w:style>
  <w:style w:type="paragraph" w:styleId="FootnoteText">
    <w:name w:val="footnote text"/>
    <w:basedOn w:val="Normal"/>
    <w:link w:val="FootnoteTextChar"/>
    <w:uiPriority w:val="99"/>
    <w:semiHidden/>
    <w:unhideWhenUsed/>
    <w:rsid w:val="00FD5B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5B90"/>
    <w:rPr>
      <w:sz w:val="20"/>
      <w:szCs w:val="20"/>
    </w:rPr>
  </w:style>
  <w:style w:type="character" w:styleId="FootnoteReference">
    <w:name w:val="footnote reference"/>
    <w:basedOn w:val="DefaultParagraphFont"/>
    <w:uiPriority w:val="99"/>
    <w:semiHidden/>
    <w:unhideWhenUsed/>
    <w:rsid w:val="00FD5B90"/>
    <w:rPr>
      <w:vertAlign w:val="superscript"/>
    </w:rPr>
  </w:style>
  <w:style w:type="paragraph" w:styleId="Caption">
    <w:name w:val="caption"/>
    <w:basedOn w:val="Normal"/>
    <w:next w:val="Normal"/>
    <w:uiPriority w:val="35"/>
    <w:unhideWhenUsed/>
    <w:qFormat/>
    <w:rsid w:val="00465007"/>
    <w:pPr>
      <w:spacing w:after="200" w:line="240" w:lineRule="auto"/>
    </w:pPr>
    <w:rPr>
      <w:i/>
      <w:iCs/>
      <w:color w:val="44546A" w:themeColor="text2"/>
      <w:sz w:val="18"/>
      <w:szCs w:val="18"/>
    </w:rPr>
  </w:style>
  <w:style w:type="table" w:styleId="TableGrid">
    <w:name w:val="Table Grid"/>
    <w:basedOn w:val="TableNormal"/>
    <w:uiPriority w:val="39"/>
    <w:rsid w:val="003E5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3E54C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C44518"/>
    <w:pPr>
      <w:spacing w:before="100" w:beforeAutospacing="1" w:after="100" w:afterAutospacing="1" w:line="240" w:lineRule="auto"/>
    </w:pPr>
    <w:rPr>
      <w:rFonts w:ascii="Times New Roman" w:eastAsiaTheme="minorEastAsia" w:hAnsi="Times New Roman" w:cs="Times New Roman"/>
      <w:sz w:val="24"/>
      <w:szCs w:val="24"/>
    </w:rPr>
  </w:style>
  <w:style w:type="paragraph" w:styleId="TableofFigures">
    <w:name w:val="table of figures"/>
    <w:basedOn w:val="Normal"/>
    <w:next w:val="Normal"/>
    <w:uiPriority w:val="99"/>
    <w:unhideWhenUsed/>
    <w:rsid w:val="00DB286C"/>
    <w:pPr>
      <w:spacing w:after="0"/>
    </w:pPr>
  </w:style>
  <w:style w:type="paragraph" w:customStyle="1" w:styleId="Style1">
    <w:name w:val="Style1"/>
    <w:basedOn w:val="Normal"/>
    <w:link w:val="Style1Char"/>
    <w:qFormat/>
    <w:rsid w:val="004C0827"/>
  </w:style>
  <w:style w:type="paragraph" w:styleId="Header">
    <w:name w:val="header"/>
    <w:basedOn w:val="Normal"/>
    <w:link w:val="HeaderChar"/>
    <w:uiPriority w:val="99"/>
    <w:unhideWhenUsed/>
    <w:rsid w:val="004C0827"/>
    <w:pPr>
      <w:tabs>
        <w:tab w:val="center" w:pos="4680"/>
        <w:tab w:val="right" w:pos="9360"/>
      </w:tabs>
      <w:spacing w:after="0" w:line="240" w:lineRule="auto"/>
    </w:pPr>
  </w:style>
  <w:style w:type="character" w:customStyle="1" w:styleId="Style1Char">
    <w:name w:val="Style1 Char"/>
    <w:basedOn w:val="DefaultParagraphFont"/>
    <w:link w:val="Style1"/>
    <w:rsid w:val="004C0827"/>
  </w:style>
  <w:style w:type="character" w:customStyle="1" w:styleId="HeaderChar">
    <w:name w:val="Header Char"/>
    <w:basedOn w:val="DefaultParagraphFont"/>
    <w:link w:val="Header"/>
    <w:uiPriority w:val="99"/>
    <w:rsid w:val="004C0827"/>
  </w:style>
  <w:style w:type="paragraph" w:styleId="Footer">
    <w:name w:val="footer"/>
    <w:basedOn w:val="Normal"/>
    <w:link w:val="FooterChar"/>
    <w:uiPriority w:val="99"/>
    <w:unhideWhenUsed/>
    <w:rsid w:val="004C0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827"/>
  </w:style>
  <w:style w:type="table" w:customStyle="1" w:styleId="TableGrid1">
    <w:name w:val="Table Grid1"/>
    <w:basedOn w:val="TableNormal"/>
    <w:next w:val="TableGrid"/>
    <w:uiPriority w:val="39"/>
    <w:rsid w:val="00662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9293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9293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65393"/>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9B4BF4"/>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940184"/>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9293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2935"/>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9293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092935"/>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40DFD"/>
    <w:pPr>
      <w:ind w:left="720"/>
      <w:contextualSpacing/>
    </w:pPr>
  </w:style>
  <w:style w:type="character" w:customStyle="1" w:styleId="Heading3Char">
    <w:name w:val="Heading 3 Char"/>
    <w:basedOn w:val="DefaultParagraphFont"/>
    <w:link w:val="Heading3"/>
    <w:uiPriority w:val="9"/>
    <w:rsid w:val="00365393"/>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9B4BF4"/>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046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467CF"/>
    <w:rPr>
      <w:rFonts w:ascii="Tahoma" w:hAnsi="Tahoma" w:cs="Tahoma"/>
      <w:sz w:val="16"/>
      <w:szCs w:val="16"/>
    </w:rPr>
  </w:style>
  <w:style w:type="character" w:styleId="CommentReference">
    <w:name w:val="annotation reference"/>
    <w:basedOn w:val="DefaultParagraphFont"/>
    <w:uiPriority w:val="99"/>
    <w:semiHidden/>
    <w:unhideWhenUsed/>
    <w:rsid w:val="000467CF"/>
    <w:rPr>
      <w:sz w:val="16"/>
      <w:szCs w:val="16"/>
    </w:rPr>
  </w:style>
  <w:style w:type="paragraph" w:styleId="CommentText">
    <w:name w:val="annotation text"/>
    <w:basedOn w:val="Normal"/>
    <w:link w:val="CommentTextChar"/>
    <w:uiPriority w:val="99"/>
    <w:semiHidden/>
    <w:unhideWhenUsed/>
    <w:rsid w:val="000467CF"/>
    <w:pPr>
      <w:spacing w:line="240" w:lineRule="auto"/>
    </w:pPr>
    <w:rPr>
      <w:sz w:val="20"/>
      <w:szCs w:val="20"/>
    </w:rPr>
  </w:style>
  <w:style w:type="character" w:customStyle="1" w:styleId="CommentTextChar">
    <w:name w:val="Comment Text Char"/>
    <w:basedOn w:val="DefaultParagraphFont"/>
    <w:link w:val="CommentText"/>
    <w:uiPriority w:val="99"/>
    <w:semiHidden/>
    <w:rsid w:val="000467CF"/>
    <w:rPr>
      <w:sz w:val="20"/>
      <w:szCs w:val="20"/>
    </w:rPr>
  </w:style>
  <w:style w:type="paragraph" w:styleId="CommentSubject">
    <w:name w:val="annotation subject"/>
    <w:basedOn w:val="CommentText"/>
    <w:next w:val="CommentText"/>
    <w:link w:val="CommentSubjectChar"/>
    <w:uiPriority w:val="99"/>
    <w:semiHidden/>
    <w:unhideWhenUsed/>
    <w:rsid w:val="000467CF"/>
    <w:rPr>
      <w:b/>
      <w:bCs/>
    </w:rPr>
  </w:style>
  <w:style w:type="character" w:customStyle="1" w:styleId="CommentSubjectChar">
    <w:name w:val="Comment Subject Char"/>
    <w:basedOn w:val="CommentTextChar"/>
    <w:link w:val="CommentSubject"/>
    <w:uiPriority w:val="99"/>
    <w:semiHidden/>
    <w:rsid w:val="000467CF"/>
    <w:rPr>
      <w:b/>
      <w:bCs/>
      <w:sz w:val="20"/>
      <w:szCs w:val="20"/>
    </w:rPr>
  </w:style>
  <w:style w:type="paragraph" w:styleId="Revision">
    <w:name w:val="Revision"/>
    <w:hidden/>
    <w:uiPriority w:val="99"/>
    <w:semiHidden/>
    <w:rsid w:val="00F3661A"/>
    <w:pPr>
      <w:spacing w:after="0" w:line="240" w:lineRule="auto"/>
    </w:pPr>
  </w:style>
  <w:style w:type="paragraph" w:styleId="Subtitle">
    <w:name w:val="Subtitle"/>
    <w:basedOn w:val="Normal"/>
    <w:next w:val="Normal"/>
    <w:link w:val="SubtitleChar"/>
    <w:uiPriority w:val="11"/>
    <w:qFormat/>
    <w:rsid w:val="00467F46"/>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67F46"/>
    <w:rPr>
      <w:rFonts w:eastAsiaTheme="minorEastAsia"/>
      <w:color w:val="5A5A5A" w:themeColor="text1" w:themeTint="A5"/>
      <w:spacing w:val="15"/>
    </w:rPr>
  </w:style>
  <w:style w:type="character" w:customStyle="1" w:styleId="Heading5Char">
    <w:name w:val="Heading 5 Char"/>
    <w:basedOn w:val="DefaultParagraphFont"/>
    <w:link w:val="Heading5"/>
    <w:uiPriority w:val="9"/>
    <w:rsid w:val="00940184"/>
    <w:rPr>
      <w:rFonts w:asciiTheme="majorHAnsi" w:eastAsiaTheme="majorEastAsia" w:hAnsiTheme="majorHAnsi" w:cstheme="majorBidi"/>
      <w:color w:val="2E74B5" w:themeColor="accent1" w:themeShade="BF"/>
    </w:rPr>
  </w:style>
  <w:style w:type="character" w:customStyle="1" w:styleId="gmail-im">
    <w:name w:val="gmail-im"/>
    <w:basedOn w:val="DefaultParagraphFont"/>
    <w:rsid w:val="008D0966"/>
  </w:style>
  <w:style w:type="paragraph" w:styleId="Bibliography">
    <w:name w:val="Bibliography"/>
    <w:basedOn w:val="Normal"/>
    <w:next w:val="Normal"/>
    <w:uiPriority w:val="37"/>
    <w:unhideWhenUsed/>
    <w:rsid w:val="005138BC"/>
    <w:pPr>
      <w:tabs>
        <w:tab w:val="left" w:pos="384"/>
      </w:tabs>
      <w:spacing w:after="0" w:line="240" w:lineRule="auto"/>
      <w:ind w:left="384" w:hanging="384"/>
    </w:pPr>
  </w:style>
  <w:style w:type="paragraph" w:styleId="TOCHeading">
    <w:name w:val="TOC Heading"/>
    <w:basedOn w:val="Heading1"/>
    <w:next w:val="Normal"/>
    <w:uiPriority w:val="39"/>
    <w:unhideWhenUsed/>
    <w:qFormat/>
    <w:rsid w:val="006F5B40"/>
    <w:pPr>
      <w:outlineLvl w:val="9"/>
    </w:pPr>
  </w:style>
  <w:style w:type="paragraph" w:styleId="TOC1">
    <w:name w:val="toc 1"/>
    <w:basedOn w:val="Normal"/>
    <w:next w:val="Normal"/>
    <w:autoRedefine/>
    <w:uiPriority w:val="39"/>
    <w:unhideWhenUsed/>
    <w:rsid w:val="006F5B40"/>
    <w:pPr>
      <w:spacing w:after="100"/>
    </w:pPr>
  </w:style>
  <w:style w:type="paragraph" w:styleId="TOC2">
    <w:name w:val="toc 2"/>
    <w:basedOn w:val="Normal"/>
    <w:next w:val="Normal"/>
    <w:autoRedefine/>
    <w:uiPriority w:val="39"/>
    <w:unhideWhenUsed/>
    <w:rsid w:val="006F5B40"/>
    <w:pPr>
      <w:spacing w:after="100"/>
      <w:ind w:left="220"/>
    </w:pPr>
  </w:style>
  <w:style w:type="paragraph" w:styleId="TOC3">
    <w:name w:val="toc 3"/>
    <w:basedOn w:val="Normal"/>
    <w:next w:val="Normal"/>
    <w:autoRedefine/>
    <w:uiPriority w:val="39"/>
    <w:unhideWhenUsed/>
    <w:rsid w:val="006F5B40"/>
    <w:pPr>
      <w:spacing w:after="100"/>
      <w:ind w:left="440"/>
    </w:pPr>
  </w:style>
  <w:style w:type="character" w:styleId="Hyperlink">
    <w:name w:val="Hyperlink"/>
    <w:basedOn w:val="DefaultParagraphFont"/>
    <w:uiPriority w:val="99"/>
    <w:unhideWhenUsed/>
    <w:rsid w:val="006F5B40"/>
    <w:rPr>
      <w:color w:val="0563C1" w:themeColor="hyperlink"/>
      <w:u w:val="single"/>
    </w:rPr>
  </w:style>
  <w:style w:type="character" w:styleId="FollowedHyperlink">
    <w:name w:val="FollowedHyperlink"/>
    <w:basedOn w:val="DefaultParagraphFont"/>
    <w:uiPriority w:val="99"/>
    <w:semiHidden/>
    <w:unhideWhenUsed/>
    <w:rsid w:val="009B4FE6"/>
    <w:rPr>
      <w:color w:val="954F72" w:themeColor="followedHyperlink"/>
      <w:u w:val="single"/>
    </w:rPr>
  </w:style>
  <w:style w:type="paragraph" w:styleId="FootnoteText">
    <w:name w:val="footnote text"/>
    <w:basedOn w:val="Normal"/>
    <w:link w:val="FootnoteTextChar"/>
    <w:uiPriority w:val="99"/>
    <w:semiHidden/>
    <w:unhideWhenUsed/>
    <w:rsid w:val="00FD5B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5B90"/>
    <w:rPr>
      <w:sz w:val="20"/>
      <w:szCs w:val="20"/>
    </w:rPr>
  </w:style>
  <w:style w:type="character" w:styleId="FootnoteReference">
    <w:name w:val="footnote reference"/>
    <w:basedOn w:val="DefaultParagraphFont"/>
    <w:uiPriority w:val="99"/>
    <w:semiHidden/>
    <w:unhideWhenUsed/>
    <w:rsid w:val="00FD5B90"/>
    <w:rPr>
      <w:vertAlign w:val="superscript"/>
    </w:rPr>
  </w:style>
  <w:style w:type="paragraph" w:styleId="Caption">
    <w:name w:val="caption"/>
    <w:basedOn w:val="Normal"/>
    <w:next w:val="Normal"/>
    <w:uiPriority w:val="35"/>
    <w:unhideWhenUsed/>
    <w:qFormat/>
    <w:rsid w:val="00465007"/>
    <w:pPr>
      <w:spacing w:after="200" w:line="240" w:lineRule="auto"/>
    </w:pPr>
    <w:rPr>
      <w:i/>
      <w:iCs/>
      <w:color w:val="44546A" w:themeColor="text2"/>
      <w:sz w:val="18"/>
      <w:szCs w:val="18"/>
    </w:rPr>
  </w:style>
  <w:style w:type="table" w:styleId="TableGrid">
    <w:name w:val="Table Grid"/>
    <w:basedOn w:val="TableNormal"/>
    <w:uiPriority w:val="39"/>
    <w:rsid w:val="003E54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31">
    <w:name w:val="Plain Table 31"/>
    <w:basedOn w:val="TableNormal"/>
    <w:uiPriority w:val="43"/>
    <w:rsid w:val="003E54C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NormalWeb">
    <w:name w:val="Normal (Web)"/>
    <w:basedOn w:val="Normal"/>
    <w:uiPriority w:val="99"/>
    <w:semiHidden/>
    <w:unhideWhenUsed/>
    <w:rsid w:val="00C44518"/>
    <w:pPr>
      <w:spacing w:before="100" w:beforeAutospacing="1" w:after="100" w:afterAutospacing="1" w:line="240" w:lineRule="auto"/>
    </w:pPr>
    <w:rPr>
      <w:rFonts w:ascii="Times New Roman" w:eastAsiaTheme="minorEastAsia" w:hAnsi="Times New Roman" w:cs="Times New Roman"/>
      <w:sz w:val="24"/>
      <w:szCs w:val="24"/>
    </w:rPr>
  </w:style>
  <w:style w:type="paragraph" w:styleId="TableofFigures">
    <w:name w:val="table of figures"/>
    <w:basedOn w:val="Normal"/>
    <w:next w:val="Normal"/>
    <w:uiPriority w:val="99"/>
    <w:unhideWhenUsed/>
    <w:rsid w:val="00DB286C"/>
    <w:pPr>
      <w:spacing w:after="0"/>
    </w:pPr>
  </w:style>
  <w:style w:type="paragraph" w:customStyle="1" w:styleId="Style1">
    <w:name w:val="Style1"/>
    <w:basedOn w:val="Normal"/>
    <w:link w:val="Style1Char"/>
    <w:qFormat/>
    <w:rsid w:val="004C0827"/>
  </w:style>
  <w:style w:type="paragraph" w:styleId="Header">
    <w:name w:val="header"/>
    <w:basedOn w:val="Normal"/>
    <w:link w:val="HeaderChar"/>
    <w:uiPriority w:val="99"/>
    <w:unhideWhenUsed/>
    <w:rsid w:val="004C0827"/>
    <w:pPr>
      <w:tabs>
        <w:tab w:val="center" w:pos="4680"/>
        <w:tab w:val="right" w:pos="9360"/>
      </w:tabs>
      <w:spacing w:after="0" w:line="240" w:lineRule="auto"/>
    </w:pPr>
  </w:style>
  <w:style w:type="character" w:customStyle="1" w:styleId="Style1Char">
    <w:name w:val="Style1 Char"/>
    <w:basedOn w:val="DefaultParagraphFont"/>
    <w:link w:val="Style1"/>
    <w:rsid w:val="004C0827"/>
  </w:style>
  <w:style w:type="character" w:customStyle="1" w:styleId="HeaderChar">
    <w:name w:val="Header Char"/>
    <w:basedOn w:val="DefaultParagraphFont"/>
    <w:link w:val="Header"/>
    <w:uiPriority w:val="99"/>
    <w:rsid w:val="004C0827"/>
  </w:style>
  <w:style w:type="paragraph" w:styleId="Footer">
    <w:name w:val="footer"/>
    <w:basedOn w:val="Normal"/>
    <w:link w:val="FooterChar"/>
    <w:uiPriority w:val="99"/>
    <w:unhideWhenUsed/>
    <w:rsid w:val="004C08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0827"/>
  </w:style>
  <w:style w:type="table" w:customStyle="1" w:styleId="TableGrid1">
    <w:name w:val="Table Grid1"/>
    <w:basedOn w:val="TableNormal"/>
    <w:next w:val="TableGrid"/>
    <w:uiPriority w:val="39"/>
    <w:rsid w:val="00662D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10432">
      <w:bodyDiv w:val="1"/>
      <w:marLeft w:val="0"/>
      <w:marRight w:val="0"/>
      <w:marTop w:val="0"/>
      <w:marBottom w:val="0"/>
      <w:divBdr>
        <w:top w:val="none" w:sz="0" w:space="0" w:color="auto"/>
        <w:left w:val="none" w:sz="0" w:space="0" w:color="auto"/>
        <w:bottom w:val="none" w:sz="0" w:space="0" w:color="auto"/>
        <w:right w:val="none" w:sz="0" w:space="0" w:color="auto"/>
      </w:divBdr>
    </w:div>
    <w:div w:id="106512114">
      <w:bodyDiv w:val="1"/>
      <w:marLeft w:val="0"/>
      <w:marRight w:val="0"/>
      <w:marTop w:val="0"/>
      <w:marBottom w:val="0"/>
      <w:divBdr>
        <w:top w:val="none" w:sz="0" w:space="0" w:color="auto"/>
        <w:left w:val="none" w:sz="0" w:space="0" w:color="auto"/>
        <w:bottom w:val="none" w:sz="0" w:space="0" w:color="auto"/>
        <w:right w:val="none" w:sz="0" w:space="0" w:color="auto"/>
      </w:divBdr>
    </w:div>
    <w:div w:id="223026414">
      <w:bodyDiv w:val="1"/>
      <w:marLeft w:val="0"/>
      <w:marRight w:val="0"/>
      <w:marTop w:val="0"/>
      <w:marBottom w:val="0"/>
      <w:divBdr>
        <w:top w:val="none" w:sz="0" w:space="0" w:color="auto"/>
        <w:left w:val="none" w:sz="0" w:space="0" w:color="auto"/>
        <w:bottom w:val="none" w:sz="0" w:space="0" w:color="auto"/>
        <w:right w:val="none" w:sz="0" w:space="0" w:color="auto"/>
      </w:divBdr>
    </w:div>
    <w:div w:id="226184244">
      <w:bodyDiv w:val="1"/>
      <w:marLeft w:val="0"/>
      <w:marRight w:val="0"/>
      <w:marTop w:val="0"/>
      <w:marBottom w:val="0"/>
      <w:divBdr>
        <w:top w:val="none" w:sz="0" w:space="0" w:color="auto"/>
        <w:left w:val="none" w:sz="0" w:space="0" w:color="auto"/>
        <w:bottom w:val="none" w:sz="0" w:space="0" w:color="auto"/>
        <w:right w:val="none" w:sz="0" w:space="0" w:color="auto"/>
      </w:divBdr>
    </w:div>
    <w:div w:id="352267359">
      <w:bodyDiv w:val="1"/>
      <w:marLeft w:val="0"/>
      <w:marRight w:val="0"/>
      <w:marTop w:val="0"/>
      <w:marBottom w:val="0"/>
      <w:divBdr>
        <w:top w:val="none" w:sz="0" w:space="0" w:color="auto"/>
        <w:left w:val="none" w:sz="0" w:space="0" w:color="auto"/>
        <w:bottom w:val="none" w:sz="0" w:space="0" w:color="auto"/>
        <w:right w:val="none" w:sz="0" w:space="0" w:color="auto"/>
      </w:divBdr>
    </w:div>
    <w:div w:id="402027364">
      <w:bodyDiv w:val="1"/>
      <w:marLeft w:val="0"/>
      <w:marRight w:val="0"/>
      <w:marTop w:val="0"/>
      <w:marBottom w:val="0"/>
      <w:divBdr>
        <w:top w:val="none" w:sz="0" w:space="0" w:color="auto"/>
        <w:left w:val="none" w:sz="0" w:space="0" w:color="auto"/>
        <w:bottom w:val="none" w:sz="0" w:space="0" w:color="auto"/>
        <w:right w:val="none" w:sz="0" w:space="0" w:color="auto"/>
      </w:divBdr>
      <w:divsChild>
        <w:div w:id="908420734">
          <w:marLeft w:val="480"/>
          <w:marRight w:val="0"/>
          <w:marTop w:val="0"/>
          <w:marBottom w:val="0"/>
          <w:divBdr>
            <w:top w:val="none" w:sz="0" w:space="0" w:color="auto"/>
            <w:left w:val="none" w:sz="0" w:space="0" w:color="auto"/>
            <w:bottom w:val="none" w:sz="0" w:space="0" w:color="auto"/>
            <w:right w:val="none" w:sz="0" w:space="0" w:color="auto"/>
          </w:divBdr>
          <w:divsChild>
            <w:div w:id="2066757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848445">
      <w:bodyDiv w:val="1"/>
      <w:marLeft w:val="0"/>
      <w:marRight w:val="0"/>
      <w:marTop w:val="0"/>
      <w:marBottom w:val="0"/>
      <w:divBdr>
        <w:top w:val="none" w:sz="0" w:space="0" w:color="auto"/>
        <w:left w:val="none" w:sz="0" w:space="0" w:color="auto"/>
        <w:bottom w:val="none" w:sz="0" w:space="0" w:color="auto"/>
        <w:right w:val="none" w:sz="0" w:space="0" w:color="auto"/>
      </w:divBdr>
    </w:div>
    <w:div w:id="473566012">
      <w:bodyDiv w:val="1"/>
      <w:marLeft w:val="0"/>
      <w:marRight w:val="0"/>
      <w:marTop w:val="0"/>
      <w:marBottom w:val="0"/>
      <w:divBdr>
        <w:top w:val="none" w:sz="0" w:space="0" w:color="auto"/>
        <w:left w:val="none" w:sz="0" w:space="0" w:color="auto"/>
        <w:bottom w:val="none" w:sz="0" w:space="0" w:color="auto"/>
        <w:right w:val="none" w:sz="0" w:space="0" w:color="auto"/>
      </w:divBdr>
    </w:div>
    <w:div w:id="574626379">
      <w:bodyDiv w:val="1"/>
      <w:marLeft w:val="0"/>
      <w:marRight w:val="0"/>
      <w:marTop w:val="0"/>
      <w:marBottom w:val="0"/>
      <w:divBdr>
        <w:top w:val="none" w:sz="0" w:space="0" w:color="auto"/>
        <w:left w:val="none" w:sz="0" w:space="0" w:color="auto"/>
        <w:bottom w:val="none" w:sz="0" w:space="0" w:color="auto"/>
        <w:right w:val="none" w:sz="0" w:space="0" w:color="auto"/>
      </w:divBdr>
    </w:div>
    <w:div w:id="720594332">
      <w:bodyDiv w:val="1"/>
      <w:marLeft w:val="0"/>
      <w:marRight w:val="0"/>
      <w:marTop w:val="0"/>
      <w:marBottom w:val="0"/>
      <w:divBdr>
        <w:top w:val="none" w:sz="0" w:space="0" w:color="auto"/>
        <w:left w:val="none" w:sz="0" w:space="0" w:color="auto"/>
        <w:bottom w:val="none" w:sz="0" w:space="0" w:color="auto"/>
        <w:right w:val="none" w:sz="0" w:space="0" w:color="auto"/>
      </w:divBdr>
      <w:divsChild>
        <w:div w:id="1639069070">
          <w:marLeft w:val="0"/>
          <w:marRight w:val="0"/>
          <w:marTop w:val="0"/>
          <w:marBottom w:val="450"/>
          <w:divBdr>
            <w:top w:val="none" w:sz="0" w:space="0" w:color="auto"/>
            <w:left w:val="none" w:sz="0" w:space="0" w:color="auto"/>
            <w:bottom w:val="none" w:sz="0" w:space="0" w:color="auto"/>
            <w:right w:val="none" w:sz="0" w:space="0" w:color="auto"/>
          </w:divBdr>
          <w:divsChild>
            <w:div w:id="2078934005">
              <w:marLeft w:val="0"/>
              <w:marRight w:val="0"/>
              <w:marTop w:val="0"/>
              <w:marBottom w:val="0"/>
              <w:divBdr>
                <w:top w:val="none" w:sz="0" w:space="0" w:color="auto"/>
                <w:left w:val="none" w:sz="0" w:space="0" w:color="auto"/>
                <w:bottom w:val="none" w:sz="0" w:space="0" w:color="auto"/>
                <w:right w:val="none" w:sz="0" w:space="0" w:color="auto"/>
              </w:divBdr>
              <w:divsChild>
                <w:div w:id="945310160">
                  <w:marLeft w:val="0"/>
                  <w:marRight w:val="0"/>
                  <w:marTop w:val="0"/>
                  <w:marBottom w:val="75"/>
                  <w:divBdr>
                    <w:top w:val="none" w:sz="0" w:space="0" w:color="auto"/>
                    <w:left w:val="none" w:sz="0" w:space="0" w:color="auto"/>
                    <w:bottom w:val="none" w:sz="0" w:space="0" w:color="auto"/>
                    <w:right w:val="none" w:sz="0" w:space="0" w:color="auto"/>
                  </w:divBdr>
                </w:div>
                <w:div w:id="1038050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108583">
      <w:bodyDiv w:val="1"/>
      <w:marLeft w:val="0"/>
      <w:marRight w:val="0"/>
      <w:marTop w:val="0"/>
      <w:marBottom w:val="0"/>
      <w:divBdr>
        <w:top w:val="none" w:sz="0" w:space="0" w:color="auto"/>
        <w:left w:val="none" w:sz="0" w:space="0" w:color="auto"/>
        <w:bottom w:val="none" w:sz="0" w:space="0" w:color="auto"/>
        <w:right w:val="none" w:sz="0" w:space="0" w:color="auto"/>
      </w:divBdr>
      <w:divsChild>
        <w:div w:id="619724003">
          <w:marLeft w:val="0"/>
          <w:marRight w:val="0"/>
          <w:marTop w:val="0"/>
          <w:marBottom w:val="75"/>
          <w:divBdr>
            <w:top w:val="none" w:sz="0" w:space="0" w:color="auto"/>
            <w:left w:val="none" w:sz="0" w:space="0" w:color="auto"/>
            <w:bottom w:val="none" w:sz="0" w:space="0" w:color="auto"/>
            <w:right w:val="none" w:sz="0" w:space="0" w:color="auto"/>
          </w:divBdr>
        </w:div>
        <w:div w:id="1696343977">
          <w:marLeft w:val="0"/>
          <w:marRight w:val="0"/>
          <w:marTop w:val="0"/>
          <w:marBottom w:val="0"/>
          <w:divBdr>
            <w:top w:val="none" w:sz="0" w:space="0" w:color="auto"/>
            <w:left w:val="none" w:sz="0" w:space="0" w:color="auto"/>
            <w:bottom w:val="none" w:sz="0" w:space="0" w:color="auto"/>
            <w:right w:val="none" w:sz="0" w:space="0" w:color="auto"/>
          </w:divBdr>
        </w:div>
        <w:div w:id="108935303">
          <w:marLeft w:val="0"/>
          <w:marRight w:val="0"/>
          <w:marTop w:val="60"/>
          <w:marBottom w:val="0"/>
          <w:divBdr>
            <w:top w:val="none" w:sz="0" w:space="0" w:color="auto"/>
            <w:left w:val="none" w:sz="0" w:space="0" w:color="auto"/>
            <w:bottom w:val="none" w:sz="0" w:space="0" w:color="auto"/>
            <w:right w:val="none" w:sz="0" w:space="0" w:color="auto"/>
          </w:divBdr>
        </w:div>
      </w:divsChild>
    </w:div>
    <w:div w:id="1038163895">
      <w:bodyDiv w:val="1"/>
      <w:marLeft w:val="0"/>
      <w:marRight w:val="0"/>
      <w:marTop w:val="0"/>
      <w:marBottom w:val="0"/>
      <w:divBdr>
        <w:top w:val="none" w:sz="0" w:space="0" w:color="auto"/>
        <w:left w:val="none" w:sz="0" w:space="0" w:color="auto"/>
        <w:bottom w:val="none" w:sz="0" w:space="0" w:color="auto"/>
        <w:right w:val="none" w:sz="0" w:space="0" w:color="auto"/>
      </w:divBdr>
    </w:div>
    <w:div w:id="1191138902">
      <w:bodyDiv w:val="1"/>
      <w:marLeft w:val="0"/>
      <w:marRight w:val="0"/>
      <w:marTop w:val="0"/>
      <w:marBottom w:val="0"/>
      <w:divBdr>
        <w:top w:val="none" w:sz="0" w:space="0" w:color="auto"/>
        <w:left w:val="none" w:sz="0" w:space="0" w:color="auto"/>
        <w:bottom w:val="none" w:sz="0" w:space="0" w:color="auto"/>
        <w:right w:val="none" w:sz="0" w:space="0" w:color="auto"/>
      </w:divBdr>
    </w:div>
    <w:div w:id="1243757210">
      <w:bodyDiv w:val="1"/>
      <w:marLeft w:val="0"/>
      <w:marRight w:val="0"/>
      <w:marTop w:val="0"/>
      <w:marBottom w:val="0"/>
      <w:divBdr>
        <w:top w:val="none" w:sz="0" w:space="0" w:color="auto"/>
        <w:left w:val="none" w:sz="0" w:space="0" w:color="auto"/>
        <w:bottom w:val="none" w:sz="0" w:space="0" w:color="auto"/>
        <w:right w:val="none" w:sz="0" w:space="0" w:color="auto"/>
      </w:divBdr>
    </w:div>
    <w:div w:id="1248996507">
      <w:bodyDiv w:val="1"/>
      <w:marLeft w:val="0"/>
      <w:marRight w:val="0"/>
      <w:marTop w:val="0"/>
      <w:marBottom w:val="0"/>
      <w:divBdr>
        <w:top w:val="none" w:sz="0" w:space="0" w:color="auto"/>
        <w:left w:val="none" w:sz="0" w:space="0" w:color="auto"/>
        <w:bottom w:val="none" w:sz="0" w:space="0" w:color="auto"/>
        <w:right w:val="none" w:sz="0" w:space="0" w:color="auto"/>
      </w:divBdr>
    </w:div>
    <w:div w:id="1272013265">
      <w:bodyDiv w:val="1"/>
      <w:marLeft w:val="0"/>
      <w:marRight w:val="0"/>
      <w:marTop w:val="0"/>
      <w:marBottom w:val="0"/>
      <w:divBdr>
        <w:top w:val="none" w:sz="0" w:space="0" w:color="auto"/>
        <w:left w:val="none" w:sz="0" w:space="0" w:color="auto"/>
        <w:bottom w:val="none" w:sz="0" w:space="0" w:color="auto"/>
        <w:right w:val="none" w:sz="0" w:space="0" w:color="auto"/>
      </w:divBdr>
    </w:div>
    <w:div w:id="1422721685">
      <w:bodyDiv w:val="1"/>
      <w:marLeft w:val="0"/>
      <w:marRight w:val="0"/>
      <w:marTop w:val="0"/>
      <w:marBottom w:val="0"/>
      <w:divBdr>
        <w:top w:val="none" w:sz="0" w:space="0" w:color="auto"/>
        <w:left w:val="none" w:sz="0" w:space="0" w:color="auto"/>
        <w:bottom w:val="none" w:sz="0" w:space="0" w:color="auto"/>
        <w:right w:val="none" w:sz="0" w:space="0" w:color="auto"/>
      </w:divBdr>
    </w:div>
    <w:div w:id="1480344927">
      <w:bodyDiv w:val="1"/>
      <w:marLeft w:val="0"/>
      <w:marRight w:val="0"/>
      <w:marTop w:val="0"/>
      <w:marBottom w:val="0"/>
      <w:divBdr>
        <w:top w:val="none" w:sz="0" w:space="0" w:color="auto"/>
        <w:left w:val="none" w:sz="0" w:space="0" w:color="auto"/>
        <w:bottom w:val="none" w:sz="0" w:space="0" w:color="auto"/>
        <w:right w:val="none" w:sz="0" w:space="0" w:color="auto"/>
      </w:divBdr>
    </w:div>
    <w:div w:id="1495074619">
      <w:bodyDiv w:val="1"/>
      <w:marLeft w:val="0"/>
      <w:marRight w:val="0"/>
      <w:marTop w:val="0"/>
      <w:marBottom w:val="0"/>
      <w:divBdr>
        <w:top w:val="none" w:sz="0" w:space="0" w:color="auto"/>
        <w:left w:val="none" w:sz="0" w:space="0" w:color="auto"/>
        <w:bottom w:val="none" w:sz="0" w:space="0" w:color="auto"/>
        <w:right w:val="none" w:sz="0" w:space="0" w:color="auto"/>
      </w:divBdr>
      <w:divsChild>
        <w:div w:id="2124493456">
          <w:marLeft w:val="0"/>
          <w:marRight w:val="0"/>
          <w:marTop w:val="0"/>
          <w:marBottom w:val="450"/>
          <w:divBdr>
            <w:top w:val="none" w:sz="0" w:space="0" w:color="auto"/>
            <w:left w:val="none" w:sz="0" w:space="0" w:color="auto"/>
            <w:bottom w:val="none" w:sz="0" w:space="0" w:color="auto"/>
            <w:right w:val="none" w:sz="0" w:space="0" w:color="auto"/>
          </w:divBdr>
          <w:divsChild>
            <w:div w:id="1346250411">
              <w:marLeft w:val="0"/>
              <w:marRight w:val="0"/>
              <w:marTop w:val="0"/>
              <w:marBottom w:val="0"/>
              <w:divBdr>
                <w:top w:val="none" w:sz="0" w:space="0" w:color="auto"/>
                <w:left w:val="none" w:sz="0" w:space="0" w:color="auto"/>
                <w:bottom w:val="none" w:sz="0" w:space="0" w:color="auto"/>
                <w:right w:val="none" w:sz="0" w:space="0" w:color="auto"/>
              </w:divBdr>
              <w:divsChild>
                <w:div w:id="1431469997">
                  <w:marLeft w:val="0"/>
                  <w:marRight w:val="0"/>
                  <w:marTop w:val="0"/>
                  <w:marBottom w:val="75"/>
                  <w:divBdr>
                    <w:top w:val="none" w:sz="0" w:space="0" w:color="auto"/>
                    <w:left w:val="none" w:sz="0" w:space="0" w:color="auto"/>
                    <w:bottom w:val="none" w:sz="0" w:space="0" w:color="auto"/>
                    <w:right w:val="none" w:sz="0" w:space="0" w:color="auto"/>
                  </w:divBdr>
                </w:div>
                <w:div w:id="912933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6803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7.jpe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1.xml"/><Relationship Id="rId25" Type="http://schemas.microsoft.com/office/2011/relationships/commentsExtended" Target="commentsExtended.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6.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climate.gov.bc.ca/feature/restoring-forests/" TargetMode="External"/><Relationship Id="rId13" Type="http://schemas.openxmlformats.org/officeDocument/2006/relationships/hyperlink" Target="https://www.for.gov.bc.ca/hfd/library/documents/bib95960.pdf" TargetMode="External"/><Relationship Id="rId3" Type="http://schemas.openxmlformats.org/officeDocument/2006/relationships/hyperlink" Target="https://www.for.gov.bc.ca/hre/becweb/" TargetMode="External"/><Relationship Id="rId7" Type="http://schemas.openxmlformats.org/officeDocument/2006/relationships/hyperlink" Target="http://www.fesbc.ca/index.html" TargetMode="External"/><Relationship Id="rId12" Type="http://schemas.openxmlformats.org/officeDocument/2006/relationships/hyperlink" Target="https://www2.gov.bc.ca/assets/gov/farming-natural-resources-and-industry/forestry/forest-health/bark-beetles/retentionguidance_spruce_beetle_20sept2017.pdf" TargetMode="External"/><Relationship Id="rId2" Type="http://schemas.openxmlformats.org/officeDocument/2006/relationships/hyperlink" Target="https://www.for.gov.bc.ca/tasb/slrp/policies-guides/old-growth/Old_Growth_Order_May18th_FINAL.pdf" TargetMode="External"/><Relationship Id="rId1" Type="http://schemas.openxmlformats.org/officeDocument/2006/relationships/hyperlink" Target="https://www.for.gov.bc.ca/tasb/legsregs/fpc/FPCGUIDE/wap/WAPGdbk-Web.pdf" TargetMode="External"/><Relationship Id="rId6" Type="http://schemas.openxmlformats.org/officeDocument/2006/relationships/hyperlink" Target="https://www2.gov.bc.ca/gov/content/environment/natural-resource-stewardship/land-based-investment/forests-for-tomorrow/forest-and-range-practices-act-frpa-section-108" TargetMode="External"/><Relationship Id="rId11" Type="http://schemas.openxmlformats.org/officeDocument/2006/relationships/hyperlink" Target="https://www.for.gov.bc.ca/hfd/library/fia/2004/FIA-04-05-0086a.pdf" TargetMode="External"/><Relationship Id="rId5" Type="http://schemas.openxmlformats.org/officeDocument/2006/relationships/hyperlink" Target="https://www2.gov.bc.ca/assets/gov/environment/natural-resource-stewardship/land-based-investment/forests-for-tomorrow/5postwildfireassessmentoverviewjan23.pdf" TargetMode="External"/><Relationship Id="rId10" Type="http://schemas.openxmlformats.org/officeDocument/2006/relationships/hyperlink" Target="https://www.for.gov.bc.ca/tasb/slrp/lrmp/williamslake/cariboo_chilcotin/plan/biodiv/2014_June_Final_Information_Note1.pdf" TargetMode="External"/><Relationship Id="rId4" Type="http://schemas.openxmlformats.org/officeDocument/2006/relationships/hyperlink" Target="https://www2.gov.bc.ca/gov/content/environment/natural-resource-stewardship/land-based-investment/forests-for-tomorrow" TargetMode="External"/><Relationship Id="rId9" Type="http://schemas.openxmlformats.org/officeDocument/2006/relationships/hyperlink" Target="https://www.for.gov.bc.ca/tasb/slrp/pdf/LRMP/Update%2014%20March%2015.pdf" TargetMode="External"/><Relationship Id="rId14" Type="http://schemas.openxmlformats.org/officeDocument/2006/relationships/hyperlink" Target="https://www.for.gov.bc.ca/hfd/pubs/docs/En/En91.pdf" TargetMode="Externa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Users\AdminMarvin\MyDocuments\work\_FAIB.retention.guidance\HistoricalFireYearAndCause.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D:\Users\AdminMarvin\MyDocuments\work\_FAIB.retention.guidance\Wildfire_Analysis_October_30th.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file:///D:\Users\AdminMarvin\MyDocuments\work\_FAIB.retention.guidance\Wildfire_Analysis_October_30th.xlsx" TargetMode="External"/><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256957943018627"/>
          <c:y val="0.12544802867383512"/>
          <c:w val="0.83748675766993563"/>
          <c:h val="0.68070442807552278"/>
        </c:manualLayout>
      </c:layout>
      <c:barChart>
        <c:barDir val="col"/>
        <c:grouping val="clustered"/>
        <c:varyColors val="0"/>
        <c:ser>
          <c:idx val="0"/>
          <c:order val="0"/>
          <c:spPr>
            <a:solidFill>
              <a:schemeClr val="accent1"/>
            </a:solidFill>
            <a:ln>
              <a:noFill/>
            </a:ln>
            <a:effectLst/>
          </c:spPr>
          <c:invertIfNegative val="0"/>
          <c:cat>
            <c:strRef>
              <c:f>Sheet5!$C$4:$C$102</c:f>
              <c:strCache>
                <c:ptCount val="99"/>
                <c:pt idx="1">
                  <c:v>1920</c:v>
                </c:pt>
                <c:pt idx="11">
                  <c:v>1930</c:v>
                </c:pt>
                <c:pt idx="21">
                  <c:v>1940</c:v>
                </c:pt>
                <c:pt idx="31">
                  <c:v>1950</c:v>
                </c:pt>
                <c:pt idx="41">
                  <c:v>1960</c:v>
                </c:pt>
                <c:pt idx="51">
                  <c:v>1970</c:v>
                </c:pt>
                <c:pt idx="61">
                  <c:v>1980</c:v>
                </c:pt>
                <c:pt idx="71">
                  <c:v>1990</c:v>
                </c:pt>
                <c:pt idx="81">
                  <c:v>2000</c:v>
                </c:pt>
                <c:pt idx="91">
                  <c:v>2010</c:v>
                </c:pt>
                <c:pt idx="98">
                  <c:v>2017</c:v>
                </c:pt>
              </c:strCache>
            </c:strRef>
          </c:cat>
          <c:val>
            <c:numRef>
              <c:f>Sheet5!$F$4:$F$102</c:f>
              <c:numCache>
                <c:formatCode>_(* #,##0_);_(* \(#,##0\);_(* "-"??_);_(@_)</c:formatCode>
                <c:ptCount val="99"/>
                <c:pt idx="0">
                  <c:v>184279.69999999998</c:v>
                </c:pt>
                <c:pt idx="1">
                  <c:v>149810.10000000012</c:v>
                </c:pt>
                <c:pt idx="2">
                  <c:v>77544.599999999962</c:v>
                </c:pt>
                <c:pt idx="3">
                  <c:v>670665.60000000021</c:v>
                </c:pt>
                <c:pt idx="4">
                  <c:v>73562.3</c:v>
                </c:pt>
                <c:pt idx="5">
                  <c:v>185391.20000000039</c:v>
                </c:pt>
                <c:pt idx="6">
                  <c:v>468972.60000000027</c:v>
                </c:pt>
                <c:pt idx="7">
                  <c:v>284034</c:v>
                </c:pt>
                <c:pt idx="8">
                  <c:v>51520.60000000002</c:v>
                </c:pt>
                <c:pt idx="9">
                  <c:v>57256.000000000007</c:v>
                </c:pt>
                <c:pt idx="10">
                  <c:v>355858.40000000014</c:v>
                </c:pt>
                <c:pt idx="11">
                  <c:v>291926.80000000034</c:v>
                </c:pt>
                <c:pt idx="12">
                  <c:v>439551.3000000001</c:v>
                </c:pt>
                <c:pt idx="13">
                  <c:v>153688.99999999997</c:v>
                </c:pt>
                <c:pt idx="14">
                  <c:v>120286.40000000004</c:v>
                </c:pt>
                <c:pt idx="15">
                  <c:v>279476.29999999964</c:v>
                </c:pt>
                <c:pt idx="16">
                  <c:v>20905.599999999999</c:v>
                </c:pt>
                <c:pt idx="17">
                  <c:v>198693.09999999992</c:v>
                </c:pt>
                <c:pt idx="18">
                  <c:v>22939.300000000007</c:v>
                </c:pt>
                <c:pt idx="19">
                  <c:v>276035.00000000041</c:v>
                </c:pt>
                <c:pt idx="20">
                  <c:v>75885.600000000035</c:v>
                </c:pt>
                <c:pt idx="21">
                  <c:v>203046.00000000015</c:v>
                </c:pt>
                <c:pt idx="22">
                  <c:v>61938.399999999987</c:v>
                </c:pt>
                <c:pt idx="23">
                  <c:v>134021.10000000021</c:v>
                </c:pt>
                <c:pt idx="24">
                  <c:v>39129.499999999993</c:v>
                </c:pt>
                <c:pt idx="25">
                  <c:v>309610.90000000008</c:v>
                </c:pt>
                <c:pt idx="26">
                  <c:v>148537.30000000008</c:v>
                </c:pt>
                <c:pt idx="27">
                  <c:v>114725.60000000006</c:v>
                </c:pt>
                <c:pt idx="28">
                  <c:v>27885.100000000002</c:v>
                </c:pt>
                <c:pt idx="29">
                  <c:v>186839.00000000006</c:v>
                </c:pt>
                <c:pt idx="30">
                  <c:v>51557.199999999983</c:v>
                </c:pt>
                <c:pt idx="31">
                  <c:v>393195.3000000001</c:v>
                </c:pt>
                <c:pt idx="32">
                  <c:v>174092.1</c:v>
                </c:pt>
                <c:pt idx="33">
                  <c:v>68881.299999999988</c:v>
                </c:pt>
                <c:pt idx="34">
                  <c:v>25534.600000000002</c:v>
                </c:pt>
                <c:pt idx="35">
                  <c:v>3797.0000000000005</c:v>
                </c:pt>
                <c:pt idx="36">
                  <c:v>22488.100000000006</c:v>
                </c:pt>
                <c:pt idx="37">
                  <c:v>217623.39999999988</c:v>
                </c:pt>
                <c:pt idx="38">
                  <c:v>28487.599999999999</c:v>
                </c:pt>
                <c:pt idx="39">
                  <c:v>861066.50000000012</c:v>
                </c:pt>
                <c:pt idx="40">
                  <c:v>121229.5999999999</c:v>
                </c:pt>
                <c:pt idx="41">
                  <c:v>126925.4</c:v>
                </c:pt>
                <c:pt idx="42">
                  <c:v>509799.0999999998</c:v>
                </c:pt>
                <c:pt idx="43">
                  <c:v>17205.499999999996</c:v>
                </c:pt>
                <c:pt idx="44">
                  <c:v>20112.599999999991</c:v>
                </c:pt>
                <c:pt idx="45">
                  <c:v>3079.6999999999989</c:v>
                </c:pt>
                <c:pt idx="46">
                  <c:v>131218.60000000006</c:v>
                </c:pt>
                <c:pt idx="47">
                  <c:v>23208.5</c:v>
                </c:pt>
                <c:pt idx="48">
                  <c:v>111294.5</c:v>
                </c:pt>
                <c:pt idx="49">
                  <c:v>17795.799999999992</c:v>
                </c:pt>
                <c:pt idx="50">
                  <c:v>163296.60000000018</c:v>
                </c:pt>
                <c:pt idx="51">
                  <c:v>101544.30000000008</c:v>
                </c:pt>
                <c:pt idx="52">
                  <c:v>343346.19999999978</c:v>
                </c:pt>
                <c:pt idx="53">
                  <c:v>22828.599999999991</c:v>
                </c:pt>
                <c:pt idx="54">
                  <c:v>33895.500000000007</c:v>
                </c:pt>
                <c:pt idx="55">
                  <c:v>21112.499999999985</c:v>
                </c:pt>
                <c:pt idx="56">
                  <c:v>24283.899999999994</c:v>
                </c:pt>
                <c:pt idx="57">
                  <c:v>50785.500000000029</c:v>
                </c:pt>
                <c:pt idx="58">
                  <c:v>3125.8000000000011</c:v>
                </c:pt>
                <c:pt idx="59">
                  <c:v>47995.300000000032</c:v>
                </c:pt>
                <c:pt idx="60">
                  <c:v>24517.999999999985</c:v>
                </c:pt>
                <c:pt idx="61">
                  <c:v>63298.100000000013</c:v>
                </c:pt>
                <c:pt idx="62">
                  <c:v>115516.70000000001</c:v>
                </c:pt>
                <c:pt idx="63">
                  <c:v>354337.10000000009</c:v>
                </c:pt>
                <c:pt idx="64">
                  <c:v>78113.699999999968</c:v>
                </c:pt>
                <c:pt idx="65">
                  <c:v>20187.400000000001</c:v>
                </c:pt>
                <c:pt idx="66">
                  <c:v>230366.99999999991</c:v>
                </c:pt>
                <c:pt idx="67">
                  <c:v>16636.499999999993</c:v>
                </c:pt>
                <c:pt idx="68">
                  <c:v>32128.599999999984</c:v>
                </c:pt>
                <c:pt idx="69">
                  <c:v>5992.7999999999993</c:v>
                </c:pt>
                <c:pt idx="70">
                  <c:v>22180.299999999992</c:v>
                </c:pt>
                <c:pt idx="71">
                  <c:v>69474.299999999959</c:v>
                </c:pt>
                <c:pt idx="72">
                  <c:v>23939.899999999983</c:v>
                </c:pt>
                <c:pt idx="73">
                  <c:v>24119.299999999992</c:v>
                </c:pt>
                <c:pt idx="74">
                  <c:v>4244.4000000000015</c:v>
                </c:pt>
                <c:pt idx="75">
                  <c:v>23245.5</c:v>
                </c:pt>
                <c:pt idx="76">
                  <c:v>47809.200000000012</c:v>
                </c:pt>
                <c:pt idx="77">
                  <c:v>21685.299999999988</c:v>
                </c:pt>
                <c:pt idx="78">
                  <c:v>2058</c:v>
                </c:pt>
                <c:pt idx="79">
                  <c:v>78667.3</c:v>
                </c:pt>
                <c:pt idx="80">
                  <c:v>14885.8</c:v>
                </c:pt>
                <c:pt idx="81">
                  <c:v>4807.0999999999976</c:v>
                </c:pt>
                <c:pt idx="82">
                  <c:v>6411.7999999999993</c:v>
                </c:pt>
                <c:pt idx="83">
                  <c:v>4219.5999999999995</c:v>
                </c:pt>
                <c:pt idx="84">
                  <c:v>233258.99999999991</c:v>
                </c:pt>
                <c:pt idx="85">
                  <c:v>196523.80000000005</c:v>
                </c:pt>
                <c:pt idx="86">
                  <c:v>25040.2</c:v>
                </c:pt>
                <c:pt idx="87">
                  <c:v>139177.09999999989</c:v>
                </c:pt>
                <c:pt idx="88">
                  <c:v>25614.79999999997</c:v>
                </c:pt>
                <c:pt idx="89">
                  <c:v>13400.800000000012</c:v>
                </c:pt>
                <c:pt idx="90">
                  <c:v>245052.49999999994</c:v>
                </c:pt>
                <c:pt idx="91">
                  <c:v>322105.30000000028</c:v>
                </c:pt>
                <c:pt idx="92">
                  <c:v>12983.300000000008</c:v>
                </c:pt>
                <c:pt idx="93">
                  <c:v>100346.10000000022</c:v>
                </c:pt>
                <c:pt idx="94">
                  <c:v>58033.399999999958</c:v>
                </c:pt>
                <c:pt idx="95">
                  <c:v>363557.80000000016</c:v>
                </c:pt>
                <c:pt idx="96">
                  <c:v>283414.19999999984</c:v>
                </c:pt>
                <c:pt idx="97">
                  <c:v>121999.39999999995</c:v>
                </c:pt>
                <c:pt idx="98">
                  <c:v>1225143.1179402117</c:v>
                </c:pt>
              </c:numCache>
            </c:numRef>
          </c:val>
        </c:ser>
        <c:ser>
          <c:idx val="3"/>
          <c:order val="1"/>
          <c:tx>
            <c:v>big year</c:v>
          </c:tx>
          <c:spPr>
            <a:solidFill>
              <a:srgbClr val="FFC000"/>
            </a:solidFill>
            <a:ln>
              <a:noFill/>
            </a:ln>
            <a:effectLst/>
          </c:spPr>
          <c:invertIfNegative val="0"/>
          <c:val>
            <c:numRef>
              <c:f>Sheet5!$G$4:$G$102</c:f>
              <c:numCache>
                <c:formatCode>_(* #,##0_);_(* \(#,##0\);_(* "-"??_);_(@_)</c:formatCode>
                <c:ptCount val="99"/>
                <c:pt idx="0">
                  <c:v>0</c:v>
                </c:pt>
                <c:pt idx="1">
                  <c:v>0</c:v>
                </c:pt>
                <c:pt idx="2">
                  <c:v>0</c:v>
                </c:pt>
                <c:pt idx="3">
                  <c:v>670665.59999999986</c:v>
                </c:pt>
                <c:pt idx="4">
                  <c:v>0</c:v>
                </c:pt>
                <c:pt idx="5">
                  <c:v>0</c:v>
                </c:pt>
                <c:pt idx="6">
                  <c:v>468972.60000000009</c:v>
                </c:pt>
                <c:pt idx="7">
                  <c:v>0</c:v>
                </c:pt>
                <c:pt idx="8">
                  <c:v>0</c:v>
                </c:pt>
                <c:pt idx="9">
                  <c:v>0</c:v>
                </c:pt>
                <c:pt idx="10">
                  <c:v>355858.4</c:v>
                </c:pt>
                <c:pt idx="11">
                  <c:v>0</c:v>
                </c:pt>
                <c:pt idx="12">
                  <c:v>439551.30000000005</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393195.3</c:v>
                </c:pt>
                <c:pt idx="32">
                  <c:v>0</c:v>
                </c:pt>
                <c:pt idx="33">
                  <c:v>0</c:v>
                </c:pt>
                <c:pt idx="34">
                  <c:v>0</c:v>
                </c:pt>
                <c:pt idx="35">
                  <c:v>0</c:v>
                </c:pt>
                <c:pt idx="36">
                  <c:v>0</c:v>
                </c:pt>
                <c:pt idx="37">
                  <c:v>0</c:v>
                </c:pt>
                <c:pt idx="38">
                  <c:v>0</c:v>
                </c:pt>
                <c:pt idx="39">
                  <c:v>861066.49999999977</c:v>
                </c:pt>
                <c:pt idx="40">
                  <c:v>0</c:v>
                </c:pt>
                <c:pt idx="41">
                  <c:v>0</c:v>
                </c:pt>
                <c:pt idx="42">
                  <c:v>509799.09999999992</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354337.10000000003</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363572.06692399754</c:v>
                </c:pt>
                <c:pt idx="96">
                  <c:v>0</c:v>
                </c:pt>
                <c:pt idx="97">
                  <c:v>0</c:v>
                </c:pt>
                <c:pt idx="98">
                  <c:v>1225143.1179402117</c:v>
                </c:pt>
              </c:numCache>
            </c:numRef>
          </c:val>
        </c:ser>
        <c:dLbls>
          <c:showLegendKey val="0"/>
          <c:showVal val="0"/>
          <c:showCatName val="0"/>
          <c:showSerName val="0"/>
          <c:showPercent val="0"/>
          <c:showBubbleSize val="0"/>
        </c:dLbls>
        <c:gapWidth val="0"/>
        <c:overlap val="100"/>
        <c:axId val="112214400"/>
        <c:axId val="112216320"/>
      </c:barChart>
      <c:lineChart>
        <c:grouping val="standard"/>
        <c:varyColors val="0"/>
        <c:ser>
          <c:idx val="1"/>
          <c:order val="2"/>
          <c:tx>
            <c:v>Average</c:v>
          </c:tx>
          <c:spPr>
            <a:ln w="19050" cap="rnd">
              <a:solidFill>
                <a:schemeClr val="accent2"/>
              </a:solidFill>
              <a:prstDash val="sysDash"/>
              <a:round/>
            </a:ln>
            <a:effectLst/>
          </c:spPr>
          <c:marker>
            <c:symbol val="none"/>
          </c:marker>
          <c:cat>
            <c:strRef>
              <c:f>Sheet5!$C$4:$C$102</c:f>
              <c:strCache>
                <c:ptCount val="99"/>
                <c:pt idx="1">
                  <c:v>1920</c:v>
                </c:pt>
                <c:pt idx="11">
                  <c:v>1930</c:v>
                </c:pt>
                <c:pt idx="21">
                  <c:v>1940</c:v>
                </c:pt>
                <c:pt idx="31">
                  <c:v>1950</c:v>
                </c:pt>
                <c:pt idx="41">
                  <c:v>1960</c:v>
                </c:pt>
                <c:pt idx="51">
                  <c:v>1970</c:v>
                </c:pt>
                <c:pt idx="61">
                  <c:v>1980</c:v>
                </c:pt>
                <c:pt idx="71">
                  <c:v>1990</c:v>
                </c:pt>
                <c:pt idx="81">
                  <c:v>2000</c:v>
                </c:pt>
                <c:pt idx="91">
                  <c:v>2010</c:v>
                </c:pt>
                <c:pt idx="98">
                  <c:v>2017</c:v>
                </c:pt>
              </c:strCache>
            </c:strRef>
          </c:cat>
          <c:val>
            <c:numRef>
              <c:f>Sheet5!$H$4:$H$102</c:f>
              <c:numCache>
                <c:formatCode>General</c:formatCode>
                <c:ptCount val="99"/>
                <c:pt idx="0" formatCode="_(* #,##0_);_(* \(#,##0\);_(* &quot;-&quot;??_);_(@_)">
                  <c:v>142013.30826202242</c:v>
                </c:pt>
                <c:pt idx="1">
                  <c:v>141596.00378130694</c:v>
                </c:pt>
                <c:pt idx="2">
                  <c:v>141596.00378130694</c:v>
                </c:pt>
                <c:pt idx="3">
                  <c:v>141596.00378130694</c:v>
                </c:pt>
                <c:pt idx="4">
                  <c:v>141596.00378130694</c:v>
                </c:pt>
                <c:pt idx="5">
                  <c:v>141596.00378130694</c:v>
                </c:pt>
                <c:pt idx="6">
                  <c:v>141596.00378130694</c:v>
                </c:pt>
                <c:pt idx="7">
                  <c:v>141596.00378130694</c:v>
                </c:pt>
                <c:pt idx="8">
                  <c:v>141596.00378130694</c:v>
                </c:pt>
                <c:pt idx="9">
                  <c:v>141596.00378130694</c:v>
                </c:pt>
                <c:pt idx="10">
                  <c:v>141596.00378130694</c:v>
                </c:pt>
                <c:pt idx="11">
                  <c:v>141596.00378130694</c:v>
                </c:pt>
                <c:pt idx="12">
                  <c:v>141596.00378130694</c:v>
                </c:pt>
                <c:pt idx="13">
                  <c:v>141596.00378130694</c:v>
                </c:pt>
                <c:pt idx="14">
                  <c:v>141596.00378130694</c:v>
                </c:pt>
                <c:pt idx="15">
                  <c:v>141596.00378130694</c:v>
                </c:pt>
                <c:pt idx="16">
                  <c:v>141596.00378130694</c:v>
                </c:pt>
                <c:pt idx="17">
                  <c:v>141596.00378130694</c:v>
                </c:pt>
                <c:pt idx="18">
                  <c:v>141596.00378130694</c:v>
                </c:pt>
                <c:pt idx="19">
                  <c:v>141596.00378130694</c:v>
                </c:pt>
                <c:pt idx="20">
                  <c:v>141596.00378130694</c:v>
                </c:pt>
                <c:pt idx="21">
                  <c:v>141596.00378130694</c:v>
                </c:pt>
                <c:pt idx="22">
                  <c:v>141596.00378130694</c:v>
                </c:pt>
                <c:pt idx="23">
                  <c:v>141596.00378130694</c:v>
                </c:pt>
                <c:pt idx="24">
                  <c:v>141596.00378130694</c:v>
                </c:pt>
                <c:pt idx="25">
                  <c:v>141596.00378130694</c:v>
                </c:pt>
                <c:pt idx="26">
                  <c:v>141596.00378130694</c:v>
                </c:pt>
                <c:pt idx="27">
                  <c:v>141596.00378130694</c:v>
                </c:pt>
                <c:pt idx="28">
                  <c:v>141596.00378130694</c:v>
                </c:pt>
                <c:pt idx="29">
                  <c:v>141596.00378130694</c:v>
                </c:pt>
                <c:pt idx="30">
                  <c:v>141596.00378130694</c:v>
                </c:pt>
                <c:pt idx="31">
                  <c:v>141596.00378130694</c:v>
                </c:pt>
                <c:pt idx="32">
                  <c:v>141596.00378130694</c:v>
                </c:pt>
                <c:pt idx="33">
                  <c:v>141596.00378130694</c:v>
                </c:pt>
                <c:pt idx="34">
                  <c:v>141596.00378130694</c:v>
                </c:pt>
                <c:pt idx="35">
                  <c:v>141596.00378130694</c:v>
                </c:pt>
                <c:pt idx="36">
                  <c:v>141596.00378130694</c:v>
                </c:pt>
                <c:pt idx="37">
                  <c:v>141596.00378130694</c:v>
                </c:pt>
                <c:pt idx="38">
                  <c:v>141596.00378130694</c:v>
                </c:pt>
                <c:pt idx="39">
                  <c:v>141596.00378130694</c:v>
                </c:pt>
                <c:pt idx="40">
                  <c:v>141596.00378130694</c:v>
                </c:pt>
                <c:pt idx="41">
                  <c:v>141596.00378130694</c:v>
                </c:pt>
                <c:pt idx="42">
                  <c:v>141596.00378130694</c:v>
                </c:pt>
                <c:pt idx="43">
                  <c:v>141596.00378130694</c:v>
                </c:pt>
                <c:pt idx="44">
                  <c:v>141596.00378130694</c:v>
                </c:pt>
                <c:pt idx="45">
                  <c:v>141596.00378130694</c:v>
                </c:pt>
                <c:pt idx="46">
                  <c:v>141596.00378130694</c:v>
                </c:pt>
                <c:pt idx="47">
                  <c:v>141596.00378130694</c:v>
                </c:pt>
                <c:pt idx="48">
                  <c:v>141596.00378130694</c:v>
                </c:pt>
                <c:pt idx="49">
                  <c:v>141596.00378130694</c:v>
                </c:pt>
                <c:pt idx="50">
                  <c:v>141596.00378130694</c:v>
                </c:pt>
                <c:pt idx="51">
                  <c:v>141596.00378130694</c:v>
                </c:pt>
                <c:pt idx="52">
                  <c:v>141596.00378130694</c:v>
                </c:pt>
                <c:pt idx="53">
                  <c:v>141596.00378130694</c:v>
                </c:pt>
                <c:pt idx="54">
                  <c:v>141596.00378130694</c:v>
                </c:pt>
                <c:pt idx="55">
                  <c:v>141596.00378130694</c:v>
                </c:pt>
                <c:pt idx="56">
                  <c:v>141596.00378130694</c:v>
                </c:pt>
                <c:pt idx="57">
                  <c:v>141596.00378130694</c:v>
                </c:pt>
                <c:pt idx="58">
                  <c:v>141596.00378130694</c:v>
                </c:pt>
                <c:pt idx="59">
                  <c:v>141596.00378130694</c:v>
                </c:pt>
                <c:pt idx="60">
                  <c:v>141596.00378130694</c:v>
                </c:pt>
                <c:pt idx="61">
                  <c:v>141596.00378130694</c:v>
                </c:pt>
                <c:pt idx="62">
                  <c:v>141596.00378130694</c:v>
                </c:pt>
                <c:pt idx="63">
                  <c:v>141596.00378130694</c:v>
                </c:pt>
                <c:pt idx="64">
                  <c:v>141596.00378130694</c:v>
                </c:pt>
                <c:pt idx="65">
                  <c:v>141596.00378130694</c:v>
                </c:pt>
                <c:pt idx="66">
                  <c:v>141596.00378130694</c:v>
                </c:pt>
                <c:pt idx="67">
                  <c:v>141596.00378130694</c:v>
                </c:pt>
                <c:pt idx="68">
                  <c:v>141596.00378130694</c:v>
                </c:pt>
                <c:pt idx="69">
                  <c:v>141596.00378130694</c:v>
                </c:pt>
                <c:pt idx="70">
                  <c:v>141596.00378130694</c:v>
                </c:pt>
                <c:pt idx="71">
                  <c:v>141596.00378130694</c:v>
                </c:pt>
                <c:pt idx="72">
                  <c:v>141596.00378130694</c:v>
                </c:pt>
                <c:pt idx="73">
                  <c:v>141596.00378130694</c:v>
                </c:pt>
                <c:pt idx="74">
                  <c:v>141596.00378130694</c:v>
                </c:pt>
                <c:pt idx="75">
                  <c:v>141596.00378130694</c:v>
                </c:pt>
                <c:pt idx="76">
                  <c:v>141596.00378130694</c:v>
                </c:pt>
                <c:pt idx="77">
                  <c:v>141596.00378130694</c:v>
                </c:pt>
                <c:pt idx="78">
                  <c:v>141596.00378130694</c:v>
                </c:pt>
                <c:pt idx="79">
                  <c:v>141596.00378130694</c:v>
                </c:pt>
                <c:pt idx="80">
                  <c:v>141596.00378130694</c:v>
                </c:pt>
                <c:pt idx="81">
                  <c:v>141596.00378130694</c:v>
                </c:pt>
                <c:pt idx="82">
                  <c:v>141596.00378130694</c:v>
                </c:pt>
                <c:pt idx="83">
                  <c:v>141596.00378130694</c:v>
                </c:pt>
                <c:pt idx="84">
                  <c:v>141596.00378130694</c:v>
                </c:pt>
                <c:pt idx="85">
                  <c:v>141596.00378130694</c:v>
                </c:pt>
                <c:pt idx="86">
                  <c:v>141596.00378130694</c:v>
                </c:pt>
                <c:pt idx="87">
                  <c:v>141596.00378130694</c:v>
                </c:pt>
                <c:pt idx="88">
                  <c:v>141596.00378130694</c:v>
                </c:pt>
                <c:pt idx="89">
                  <c:v>141596.00378130694</c:v>
                </c:pt>
                <c:pt idx="90">
                  <c:v>141596.00378130694</c:v>
                </c:pt>
                <c:pt idx="91">
                  <c:v>141596.00378130694</c:v>
                </c:pt>
                <c:pt idx="92">
                  <c:v>141596.00378130694</c:v>
                </c:pt>
                <c:pt idx="93">
                  <c:v>141596.00378130694</c:v>
                </c:pt>
                <c:pt idx="94">
                  <c:v>141596.00378130694</c:v>
                </c:pt>
                <c:pt idx="95">
                  <c:v>141596.00378130694</c:v>
                </c:pt>
                <c:pt idx="96">
                  <c:v>141596.00378130694</c:v>
                </c:pt>
                <c:pt idx="97">
                  <c:v>141596.00378130694</c:v>
                </c:pt>
                <c:pt idx="98">
                  <c:v>141596.00378130694</c:v>
                </c:pt>
              </c:numCache>
            </c:numRef>
          </c:val>
          <c:smooth val="0"/>
        </c:ser>
        <c:ser>
          <c:idx val="2"/>
          <c:order val="3"/>
          <c:tx>
            <c:v>median</c:v>
          </c:tx>
          <c:spPr>
            <a:ln w="15875" cap="rnd">
              <a:solidFill>
                <a:srgbClr val="FF0000"/>
              </a:solidFill>
              <a:prstDash val="dash"/>
              <a:round/>
            </a:ln>
            <a:effectLst/>
          </c:spPr>
          <c:marker>
            <c:symbol val="none"/>
          </c:marker>
          <c:val>
            <c:numRef>
              <c:f>Sheet5!$I$4:$I$102</c:f>
              <c:numCache>
                <c:formatCode>_(* #,##0_);_(* \(#,##0\);_(* "-"??_);_(@_)</c:formatCode>
                <c:ptCount val="99"/>
                <c:pt idx="0">
                  <c:v>73562.3</c:v>
                </c:pt>
                <c:pt idx="1">
                  <c:v>73562.3</c:v>
                </c:pt>
                <c:pt idx="2">
                  <c:v>73562.3</c:v>
                </c:pt>
                <c:pt idx="3">
                  <c:v>73562.3</c:v>
                </c:pt>
                <c:pt idx="4">
                  <c:v>73562.3</c:v>
                </c:pt>
                <c:pt idx="5">
                  <c:v>73562.3</c:v>
                </c:pt>
                <c:pt idx="6">
                  <c:v>73562.3</c:v>
                </c:pt>
                <c:pt idx="7">
                  <c:v>73562.3</c:v>
                </c:pt>
                <c:pt idx="8">
                  <c:v>73562.3</c:v>
                </c:pt>
                <c:pt idx="9">
                  <c:v>73562.3</c:v>
                </c:pt>
                <c:pt idx="10">
                  <c:v>73562.3</c:v>
                </c:pt>
                <c:pt idx="11">
                  <c:v>73562.3</c:v>
                </c:pt>
                <c:pt idx="12">
                  <c:v>73562.3</c:v>
                </c:pt>
                <c:pt idx="13">
                  <c:v>73562.3</c:v>
                </c:pt>
                <c:pt idx="14">
                  <c:v>73562.3</c:v>
                </c:pt>
                <c:pt idx="15">
                  <c:v>73562.3</c:v>
                </c:pt>
                <c:pt idx="16">
                  <c:v>73562.3</c:v>
                </c:pt>
                <c:pt idx="17">
                  <c:v>73562.3</c:v>
                </c:pt>
                <c:pt idx="18">
                  <c:v>73562.3</c:v>
                </c:pt>
                <c:pt idx="19">
                  <c:v>73562.3</c:v>
                </c:pt>
                <c:pt idx="20">
                  <c:v>73562.3</c:v>
                </c:pt>
                <c:pt idx="21">
                  <c:v>73562.3</c:v>
                </c:pt>
                <c:pt idx="22">
                  <c:v>73562.3</c:v>
                </c:pt>
                <c:pt idx="23">
                  <c:v>73562.3</c:v>
                </c:pt>
                <c:pt idx="24">
                  <c:v>73562.3</c:v>
                </c:pt>
                <c:pt idx="25">
                  <c:v>73562.3</c:v>
                </c:pt>
                <c:pt idx="26">
                  <c:v>73562.3</c:v>
                </c:pt>
                <c:pt idx="27">
                  <c:v>73562.3</c:v>
                </c:pt>
                <c:pt idx="28">
                  <c:v>73562.3</c:v>
                </c:pt>
                <c:pt idx="29">
                  <c:v>73562.3</c:v>
                </c:pt>
                <c:pt idx="30">
                  <c:v>73562.3</c:v>
                </c:pt>
                <c:pt idx="31">
                  <c:v>73562.3</c:v>
                </c:pt>
                <c:pt idx="32">
                  <c:v>73562.3</c:v>
                </c:pt>
                <c:pt idx="33">
                  <c:v>73562.3</c:v>
                </c:pt>
                <c:pt idx="34">
                  <c:v>73562.3</c:v>
                </c:pt>
                <c:pt idx="35">
                  <c:v>73562.3</c:v>
                </c:pt>
                <c:pt idx="36">
                  <c:v>73562.3</c:v>
                </c:pt>
                <c:pt idx="37">
                  <c:v>73562.3</c:v>
                </c:pt>
                <c:pt idx="38">
                  <c:v>73562.3</c:v>
                </c:pt>
                <c:pt idx="39">
                  <c:v>73562.3</c:v>
                </c:pt>
                <c:pt idx="40">
                  <c:v>73562.3</c:v>
                </c:pt>
                <c:pt idx="41">
                  <c:v>73562.3</c:v>
                </c:pt>
                <c:pt idx="42">
                  <c:v>73562.3</c:v>
                </c:pt>
                <c:pt idx="43">
                  <c:v>73562.3</c:v>
                </c:pt>
                <c:pt idx="44">
                  <c:v>73562.3</c:v>
                </c:pt>
                <c:pt idx="45">
                  <c:v>73562.3</c:v>
                </c:pt>
                <c:pt idx="46">
                  <c:v>73562.3</c:v>
                </c:pt>
                <c:pt idx="47">
                  <c:v>73562.3</c:v>
                </c:pt>
                <c:pt idx="48">
                  <c:v>73562.3</c:v>
                </c:pt>
                <c:pt idx="49">
                  <c:v>73562.3</c:v>
                </c:pt>
                <c:pt idx="50">
                  <c:v>73562.3</c:v>
                </c:pt>
                <c:pt idx="51">
                  <c:v>73562.3</c:v>
                </c:pt>
                <c:pt idx="52">
                  <c:v>73562.3</c:v>
                </c:pt>
                <c:pt idx="53">
                  <c:v>73562.3</c:v>
                </c:pt>
                <c:pt idx="54">
                  <c:v>73562.3</c:v>
                </c:pt>
                <c:pt idx="55">
                  <c:v>73562.3</c:v>
                </c:pt>
                <c:pt idx="56">
                  <c:v>73562.3</c:v>
                </c:pt>
                <c:pt idx="57">
                  <c:v>73562.3</c:v>
                </c:pt>
                <c:pt idx="58">
                  <c:v>73562.3</c:v>
                </c:pt>
                <c:pt idx="59">
                  <c:v>73562.3</c:v>
                </c:pt>
                <c:pt idx="60">
                  <c:v>73562.3</c:v>
                </c:pt>
                <c:pt idx="61">
                  <c:v>73562.3</c:v>
                </c:pt>
                <c:pt idx="62">
                  <c:v>73562.3</c:v>
                </c:pt>
                <c:pt idx="63">
                  <c:v>73562.3</c:v>
                </c:pt>
                <c:pt idx="64">
                  <c:v>73562.3</c:v>
                </c:pt>
                <c:pt idx="65">
                  <c:v>73562.3</c:v>
                </c:pt>
                <c:pt idx="66">
                  <c:v>73562.3</c:v>
                </c:pt>
                <c:pt idx="67">
                  <c:v>73562.3</c:v>
                </c:pt>
                <c:pt idx="68">
                  <c:v>73562.3</c:v>
                </c:pt>
                <c:pt idx="69">
                  <c:v>73562.3</c:v>
                </c:pt>
                <c:pt idx="70">
                  <c:v>73562.3</c:v>
                </c:pt>
                <c:pt idx="71">
                  <c:v>73562.3</c:v>
                </c:pt>
                <c:pt idx="72">
                  <c:v>73562.3</c:v>
                </c:pt>
                <c:pt idx="73">
                  <c:v>73562.3</c:v>
                </c:pt>
                <c:pt idx="74">
                  <c:v>73562.3</c:v>
                </c:pt>
                <c:pt idx="75">
                  <c:v>73562.3</c:v>
                </c:pt>
                <c:pt idx="76">
                  <c:v>73562.3</c:v>
                </c:pt>
                <c:pt idx="77">
                  <c:v>73562.3</c:v>
                </c:pt>
                <c:pt idx="78">
                  <c:v>73562.3</c:v>
                </c:pt>
                <c:pt idx="79">
                  <c:v>73562.3</c:v>
                </c:pt>
                <c:pt idx="80">
                  <c:v>73562.3</c:v>
                </c:pt>
                <c:pt idx="81">
                  <c:v>73562.3</c:v>
                </c:pt>
                <c:pt idx="82">
                  <c:v>73562.3</c:v>
                </c:pt>
                <c:pt idx="83">
                  <c:v>73562.3</c:v>
                </c:pt>
                <c:pt idx="84">
                  <c:v>73562.3</c:v>
                </c:pt>
                <c:pt idx="85">
                  <c:v>73562.3</c:v>
                </c:pt>
                <c:pt idx="86">
                  <c:v>73562.3</c:v>
                </c:pt>
                <c:pt idx="87">
                  <c:v>73562.3</c:v>
                </c:pt>
                <c:pt idx="88">
                  <c:v>73562.3</c:v>
                </c:pt>
                <c:pt idx="89">
                  <c:v>73562.3</c:v>
                </c:pt>
                <c:pt idx="90">
                  <c:v>73562.3</c:v>
                </c:pt>
                <c:pt idx="91">
                  <c:v>73562.3</c:v>
                </c:pt>
                <c:pt idx="92">
                  <c:v>73562.3</c:v>
                </c:pt>
                <c:pt idx="93">
                  <c:v>73562.3</c:v>
                </c:pt>
                <c:pt idx="94">
                  <c:v>73562.3</c:v>
                </c:pt>
                <c:pt idx="95">
                  <c:v>73562.3</c:v>
                </c:pt>
                <c:pt idx="96">
                  <c:v>73562.3</c:v>
                </c:pt>
                <c:pt idx="97">
                  <c:v>73562.3</c:v>
                </c:pt>
                <c:pt idx="98">
                  <c:v>73562.3</c:v>
                </c:pt>
              </c:numCache>
            </c:numRef>
          </c:val>
          <c:smooth val="0"/>
        </c:ser>
        <c:dLbls>
          <c:showLegendKey val="0"/>
          <c:showVal val="0"/>
          <c:showCatName val="0"/>
          <c:showSerName val="0"/>
          <c:showPercent val="0"/>
          <c:showBubbleSize val="0"/>
        </c:dLbls>
        <c:marker val="1"/>
        <c:smooth val="0"/>
        <c:axId val="112214400"/>
        <c:axId val="112216320"/>
      </c:lineChart>
      <c:catAx>
        <c:axId val="11221440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Year</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2700000" spcFirstLastPara="1" vertOverflow="ellipsis"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216320"/>
        <c:crosses val="autoZero"/>
        <c:auto val="1"/>
        <c:lblAlgn val="ctr"/>
        <c:lblOffset val="100"/>
        <c:noMultiLvlLbl val="0"/>
      </c:catAx>
      <c:valAx>
        <c:axId val="112216320"/>
        <c:scaling>
          <c:orientation val="minMax"/>
          <c:max val="1250000"/>
          <c:min val="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t" anchorCtr="0"/>
              <a:lstStyle/>
              <a:p>
                <a:pPr>
                  <a:defRPr sz="1000" b="0" i="0" u="none" strike="noStrike" kern="1200" baseline="0">
                    <a:solidFill>
                      <a:schemeClr val="tx1">
                        <a:lumMod val="65000"/>
                        <a:lumOff val="35000"/>
                      </a:schemeClr>
                    </a:solidFill>
                    <a:latin typeface="+mn-lt"/>
                    <a:ea typeface="+mn-ea"/>
                    <a:cs typeface="+mn-cs"/>
                  </a:defRPr>
                </a:pPr>
                <a:r>
                  <a:rPr lang="en-US"/>
                  <a:t>Area Burned</a:t>
                </a:r>
              </a:p>
            </c:rich>
          </c:tx>
          <c:layout>
            <c:manualLayout>
              <c:xMode val="edge"/>
              <c:yMode val="edge"/>
              <c:x val="1.6736401673640166E-2"/>
              <c:y val="3.4449145992130552E-2"/>
            </c:manualLayout>
          </c:layout>
          <c:overlay val="0"/>
          <c:spPr>
            <a:noFill/>
            <a:ln>
              <a:noFill/>
            </a:ln>
            <a:effectLst/>
          </c:sp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214400"/>
        <c:crosses val="autoZero"/>
        <c:crossBetween val="between"/>
        <c:majorUnit val="3000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9306304797006757"/>
          <c:y val="0.21332336318372103"/>
          <c:w val="0.77967554587591448"/>
          <c:h val="0.53991483330029977"/>
        </c:manualLayout>
      </c:layout>
      <c:barChart>
        <c:barDir val="col"/>
        <c:grouping val="clustered"/>
        <c:varyColors val="0"/>
        <c:ser>
          <c:idx val="0"/>
          <c:order val="0"/>
          <c:spPr>
            <a:solidFill>
              <a:schemeClr val="accent1"/>
            </a:solidFill>
            <a:ln>
              <a:noFill/>
            </a:ln>
            <a:effectLst/>
          </c:spPr>
          <c:invertIfNegative val="0"/>
          <c:cat>
            <c:strRef>
              <c:f>'Fires by Year_Region_District'!$K$4:$K$7</c:f>
              <c:strCache>
                <c:ptCount val="4"/>
                <c:pt idx="0">
                  <c:v>Cariboo</c:v>
                </c:pt>
                <c:pt idx="1">
                  <c:v>Kootenay/Boundary</c:v>
                </c:pt>
                <c:pt idx="2">
                  <c:v>Thompson/Okanagan</c:v>
                </c:pt>
                <c:pt idx="3">
                  <c:v>Other</c:v>
                </c:pt>
              </c:strCache>
            </c:strRef>
          </c:cat>
          <c:val>
            <c:numRef>
              <c:f>'Fires by Year_Region_District'!$L$4:$L$7</c:f>
              <c:numCache>
                <c:formatCode>_(* #,##0_);_(* \(#,##0\);_(* "-"??_);_(@_)</c:formatCode>
                <c:ptCount val="4"/>
                <c:pt idx="0">
                  <c:v>995570.04902676749</c:v>
                </c:pt>
                <c:pt idx="1">
                  <c:v>101410.41201213808</c:v>
                </c:pt>
                <c:pt idx="2">
                  <c:v>84985.106127965104</c:v>
                </c:pt>
                <c:pt idx="3">
                  <c:v>43041.339135521383</c:v>
                </c:pt>
              </c:numCache>
            </c:numRef>
          </c:val>
        </c:ser>
        <c:dLbls>
          <c:showLegendKey val="0"/>
          <c:showVal val="0"/>
          <c:showCatName val="0"/>
          <c:showSerName val="0"/>
          <c:showPercent val="0"/>
          <c:showBubbleSize val="0"/>
        </c:dLbls>
        <c:gapWidth val="219"/>
        <c:overlap val="-27"/>
        <c:axId val="113239168"/>
        <c:axId val="113241088"/>
      </c:barChart>
      <c:catAx>
        <c:axId val="11323916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forest</a:t>
                </a:r>
                <a:r>
                  <a:rPr lang="en-US" baseline="0"/>
                  <a:t> r</a:t>
                </a:r>
                <a:r>
                  <a:rPr lang="en-US"/>
                  <a:t>egion</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41088"/>
        <c:crosses val="autoZero"/>
        <c:auto val="1"/>
        <c:lblAlgn val="ctr"/>
        <c:lblOffset val="100"/>
        <c:noMultiLvlLbl val="0"/>
      </c:catAx>
      <c:valAx>
        <c:axId val="113241088"/>
        <c:scaling>
          <c:orientation val="minMax"/>
          <c:max val="10000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t" anchorCtr="0"/>
              <a:lstStyle/>
              <a:p>
                <a:pPr>
                  <a:defRPr sz="1000" b="0" i="0" u="none" strike="noStrike" kern="1200" baseline="0">
                    <a:solidFill>
                      <a:schemeClr val="tx1">
                        <a:lumMod val="65000"/>
                        <a:lumOff val="35000"/>
                      </a:schemeClr>
                    </a:solidFill>
                    <a:latin typeface="+mn-lt"/>
                    <a:ea typeface="+mn-ea"/>
                    <a:cs typeface="+mn-cs"/>
                  </a:defRPr>
                </a:pPr>
                <a:r>
                  <a:rPr lang="en-US"/>
                  <a:t>Area (hectares)</a:t>
                </a:r>
              </a:p>
            </c:rich>
          </c:tx>
          <c:layout>
            <c:manualLayout>
              <c:xMode val="edge"/>
              <c:yMode val="edge"/>
              <c:x val="2.9739776951672861E-2"/>
              <c:y val="2.9362508296666829E-2"/>
            </c:manualLayout>
          </c:layout>
          <c:overlay val="0"/>
          <c:spPr>
            <a:noFill/>
            <a:ln>
              <a:noFill/>
            </a:ln>
            <a:effectLst/>
          </c:sp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3239168"/>
        <c:crosses val="autoZero"/>
        <c:crossBetween val="between"/>
        <c:majorUnit val="250000"/>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C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2001771524140494"/>
          <c:y val="0.16192885008772212"/>
          <c:w val="0.77356203238783749"/>
          <c:h val="0.61004695785637264"/>
        </c:manualLayout>
      </c:layout>
      <c:barChart>
        <c:barDir val="col"/>
        <c:grouping val="clustered"/>
        <c:varyColors val="0"/>
        <c:ser>
          <c:idx val="0"/>
          <c:order val="0"/>
          <c:spPr>
            <a:solidFill>
              <a:schemeClr val="accent1"/>
            </a:solidFill>
            <a:ln>
              <a:noFill/>
            </a:ln>
            <a:effectLst/>
          </c:spPr>
          <c:invertIfNegative val="0"/>
          <c:cat>
            <c:strRef>
              <c:f>'Fires by Year_Age Class Code'!$G$91:$G$98</c:f>
              <c:strCache>
                <c:ptCount val="8"/>
                <c:pt idx="0">
                  <c:v>1 - 20</c:v>
                </c:pt>
                <c:pt idx="1">
                  <c:v>21 - 40</c:v>
                </c:pt>
                <c:pt idx="2">
                  <c:v>41 - 60</c:v>
                </c:pt>
                <c:pt idx="3">
                  <c:v>61 - 80</c:v>
                </c:pt>
                <c:pt idx="4">
                  <c:v>81 - 100</c:v>
                </c:pt>
                <c:pt idx="5">
                  <c:v>101 - 120</c:v>
                </c:pt>
                <c:pt idx="6">
                  <c:v>121 - 140</c:v>
                </c:pt>
                <c:pt idx="7">
                  <c:v>&gt; 140</c:v>
                </c:pt>
              </c:strCache>
            </c:strRef>
          </c:cat>
          <c:val>
            <c:numRef>
              <c:f>'Fires by Year_Age Class Code'!$H$91:$H$98</c:f>
              <c:numCache>
                <c:formatCode>_(* #,##0_);_(* \(#,##0\);_(* "-"??_);_(@_)</c:formatCode>
                <c:ptCount val="8"/>
                <c:pt idx="0">
                  <c:v>75394.55282574895</c:v>
                </c:pt>
                <c:pt idx="1">
                  <c:v>96946.916602269965</c:v>
                </c:pt>
                <c:pt idx="2">
                  <c:v>55258.385696042504</c:v>
                </c:pt>
                <c:pt idx="3">
                  <c:v>110804.7243630491</c:v>
                </c:pt>
                <c:pt idx="4">
                  <c:v>190942.03628067311</c:v>
                </c:pt>
                <c:pt idx="5">
                  <c:v>162627.64345721458</c:v>
                </c:pt>
                <c:pt idx="6">
                  <c:v>144547.09437712395</c:v>
                </c:pt>
                <c:pt idx="7">
                  <c:v>253968.67548090607</c:v>
                </c:pt>
              </c:numCache>
            </c:numRef>
          </c:val>
        </c:ser>
        <c:dLbls>
          <c:showLegendKey val="0"/>
          <c:showVal val="0"/>
          <c:showCatName val="0"/>
          <c:showSerName val="0"/>
          <c:showPercent val="0"/>
          <c:showBubbleSize val="0"/>
        </c:dLbls>
        <c:gapWidth val="219"/>
        <c:overlap val="-27"/>
        <c:axId val="115655808"/>
        <c:axId val="115657728"/>
      </c:barChart>
      <c:catAx>
        <c:axId val="115655808"/>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Age of forest (years)</a:t>
                </a:r>
              </a:p>
            </c:rich>
          </c:tx>
          <c:overlay val="0"/>
          <c:spPr>
            <a:noFill/>
            <a:ln>
              <a:noFill/>
            </a:ln>
            <a:effectLst/>
          </c:sp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657728"/>
        <c:crosses val="autoZero"/>
        <c:auto val="1"/>
        <c:lblAlgn val="ctr"/>
        <c:lblOffset val="100"/>
        <c:noMultiLvlLbl val="0"/>
      </c:catAx>
      <c:valAx>
        <c:axId val="115657728"/>
        <c:scaling>
          <c:orientation val="minMax"/>
          <c:max val="250000"/>
        </c:scaling>
        <c:delete val="0"/>
        <c:axPos val="l"/>
        <c:majorGridlines>
          <c:spPr>
            <a:ln w="9525" cap="flat" cmpd="sng" algn="ctr">
              <a:solidFill>
                <a:schemeClr val="tx1">
                  <a:lumMod val="15000"/>
                  <a:lumOff val="85000"/>
                </a:schemeClr>
              </a:solidFill>
              <a:round/>
            </a:ln>
            <a:effectLst/>
          </c:spPr>
        </c:majorGridlines>
        <c:title>
          <c:tx>
            <c:rich>
              <a:bodyPr rot="0" spcFirstLastPara="1" vertOverflow="ellipsis"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Area (hectares)</a:t>
                </a:r>
              </a:p>
            </c:rich>
          </c:tx>
          <c:layout>
            <c:manualLayout>
              <c:xMode val="edge"/>
              <c:yMode val="edge"/>
              <c:x val="2.8648162034305234E-2"/>
              <c:y val="3.1207349081364844E-2"/>
            </c:manualLayout>
          </c:layout>
          <c:overlay val="0"/>
          <c:spPr>
            <a:noFill/>
            <a:ln>
              <a:noFill/>
            </a:ln>
            <a:effectLst/>
          </c:spPr>
        </c:title>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5655808"/>
        <c:crosses val="autoZero"/>
        <c:crossBetween val="between"/>
      </c:valAx>
      <c:spPr>
        <a:noFill/>
        <a:ln>
          <a:noFill/>
        </a:ln>
        <a:effectLst/>
      </c:spPr>
    </c:plotArea>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0.7915</cdr:x>
      <cdr:y>0.44363</cdr:y>
    </cdr:from>
    <cdr:to>
      <cdr:x>0.92318</cdr:x>
      <cdr:y>0.60127</cdr:y>
    </cdr:to>
    <cdr:sp macro="" textlink="">
      <cdr:nvSpPr>
        <cdr:cNvPr id="2" name="Line Callout 2 1"/>
        <cdr:cNvSpPr/>
      </cdr:nvSpPr>
      <cdr:spPr>
        <a:xfrm xmlns:a="http://schemas.openxmlformats.org/drawingml/2006/main">
          <a:off x="5495925" y="1724025"/>
          <a:ext cx="914400" cy="612648"/>
        </a:xfrm>
        <a:prstGeom xmlns:a="http://schemas.openxmlformats.org/drawingml/2006/main" prst="borderCallout2">
          <a:avLst/>
        </a:prstGeom>
        <a:noFill xmlns:a="http://schemas.openxmlformats.org/drawingml/2006/main"/>
        <a:ln xmlns:a="http://schemas.openxmlformats.org/drawingml/2006/main">
          <a:noFill/>
        </a:l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n-US"/>
        </a:p>
      </cdr:txBody>
    </cdr:sp>
  </cdr:relSizeAnchor>
  <cdr:relSizeAnchor xmlns:cdr="http://schemas.openxmlformats.org/drawingml/2006/chartDrawing">
    <cdr:from>
      <cdr:x>0.73902</cdr:x>
      <cdr:y>0.46507</cdr:y>
    </cdr:from>
    <cdr:to>
      <cdr:x>0.93381</cdr:x>
      <cdr:y>0.5386</cdr:y>
    </cdr:to>
    <cdr:sp macro="" textlink="">
      <cdr:nvSpPr>
        <cdr:cNvPr id="4" name="TextBox 3"/>
        <cdr:cNvSpPr txBox="1"/>
      </cdr:nvSpPr>
      <cdr:spPr>
        <a:xfrm xmlns:a="http://schemas.openxmlformats.org/drawingml/2006/main">
          <a:off x="4392452" y="1422272"/>
          <a:ext cx="1157754" cy="224867"/>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50"/>
            <a:t>Average area burned</a:t>
          </a:r>
        </a:p>
      </cdr:txBody>
    </cdr:sp>
  </cdr:relSizeAnchor>
  <cdr:relSizeAnchor xmlns:cdr="http://schemas.openxmlformats.org/drawingml/2006/chartDrawing">
    <cdr:from>
      <cdr:x>0.70833</cdr:x>
      <cdr:y>0.52949</cdr:y>
    </cdr:from>
    <cdr:to>
      <cdr:x>0.74679</cdr:x>
      <cdr:y>0.71844</cdr:y>
    </cdr:to>
    <cdr:cxnSp macro="">
      <cdr:nvCxnSpPr>
        <cdr:cNvPr id="9" name="Straight Arrow Connector 8"/>
        <cdr:cNvCxnSpPr/>
      </cdr:nvCxnSpPr>
      <cdr:spPr>
        <a:xfrm xmlns:a="http://schemas.openxmlformats.org/drawingml/2006/main" flipH="1">
          <a:off x="4210050" y="1619250"/>
          <a:ext cx="228600" cy="57785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0.80083</cdr:x>
      <cdr:y>0.54113</cdr:y>
    </cdr:from>
    <cdr:to>
      <cdr:x>0.99562</cdr:x>
      <cdr:y>0.61466</cdr:y>
    </cdr:to>
    <cdr:sp macro="" textlink="">
      <cdr:nvSpPr>
        <cdr:cNvPr id="5" name="TextBox 1"/>
        <cdr:cNvSpPr txBox="1"/>
      </cdr:nvSpPr>
      <cdr:spPr>
        <a:xfrm xmlns:a="http://schemas.openxmlformats.org/drawingml/2006/main">
          <a:off x="4759842" y="1654854"/>
          <a:ext cx="1157753" cy="224867"/>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050"/>
            <a:t>Median</a:t>
          </a:r>
        </a:p>
      </cdr:txBody>
    </cdr:sp>
  </cdr:relSizeAnchor>
  <cdr:relSizeAnchor xmlns:cdr="http://schemas.openxmlformats.org/drawingml/2006/chartDrawing">
    <cdr:from>
      <cdr:x>0.76068</cdr:x>
      <cdr:y>0.59178</cdr:y>
    </cdr:from>
    <cdr:to>
      <cdr:x>0.80983</cdr:x>
      <cdr:y>0.75997</cdr:y>
    </cdr:to>
    <cdr:cxnSp macro="">
      <cdr:nvCxnSpPr>
        <cdr:cNvPr id="6" name="Straight Arrow Connector 5"/>
        <cdr:cNvCxnSpPr/>
      </cdr:nvCxnSpPr>
      <cdr:spPr>
        <a:xfrm xmlns:a="http://schemas.openxmlformats.org/drawingml/2006/main" flipH="1">
          <a:off x="4521200" y="1809750"/>
          <a:ext cx="292100" cy="51435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0.61189</cdr:x>
      <cdr:y>0.31557</cdr:y>
    </cdr:from>
    <cdr:to>
      <cdr:x>0.80668</cdr:x>
      <cdr:y>0.3891</cdr:y>
    </cdr:to>
    <cdr:sp macro="" textlink="">
      <cdr:nvSpPr>
        <cdr:cNvPr id="13" name="TextBox 3"/>
        <cdr:cNvSpPr txBox="1"/>
      </cdr:nvSpPr>
      <cdr:spPr>
        <a:xfrm xmlns:a="http://schemas.openxmlformats.org/drawingml/2006/main">
          <a:off x="3636802" y="965072"/>
          <a:ext cx="1157754" cy="224867"/>
        </a:xfrm>
        <a:prstGeom xmlns:a="http://schemas.openxmlformats.org/drawingml/2006/main" prst="rect">
          <a:avLst/>
        </a:prstGeom>
      </cdr:spPr>
    </cdr:sp>
  </cdr:relSizeAnchor>
  <cdr:relSizeAnchor xmlns:cdr="http://schemas.openxmlformats.org/drawingml/2006/chartDrawing">
    <cdr:from>
      <cdr:x>0.17735</cdr:x>
      <cdr:y>0.38206</cdr:y>
    </cdr:from>
    <cdr:to>
      <cdr:x>0.21581</cdr:x>
      <cdr:y>0.45266</cdr:y>
    </cdr:to>
    <cdr:cxnSp macro="">
      <cdr:nvCxnSpPr>
        <cdr:cNvPr id="14" name="Straight Arrow Connector 13"/>
        <cdr:cNvCxnSpPr/>
      </cdr:nvCxnSpPr>
      <cdr:spPr>
        <a:xfrm xmlns:a="http://schemas.openxmlformats.org/drawingml/2006/main" flipH="1">
          <a:off x="1054100" y="1168400"/>
          <a:ext cx="228600" cy="215900"/>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0.21474</cdr:x>
      <cdr:y>0.34468</cdr:y>
    </cdr:from>
    <cdr:to>
      <cdr:x>0.36859</cdr:x>
      <cdr:y>0.44435</cdr:y>
    </cdr:to>
    <cdr:sp macro="" textlink="">
      <cdr:nvSpPr>
        <cdr:cNvPr id="17" name="Text Box 16"/>
        <cdr:cNvSpPr txBox="1"/>
      </cdr:nvSpPr>
      <cdr:spPr>
        <a:xfrm xmlns:a="http://schemas.openxmlformats.org/drawingml/2006/main">
          <a:off x="1276350" y="1054100"/>
          <a:ext cx="914400" cy="3048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050"/>
            <a:t>Top 10 year</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0E906-6972-4655-8C85-F0D5778F7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31</Pages>
  <Words>50170</Words>
  <Characters>285971</Characters>
  <Application>Microsoft Office Word</Application>
  <DocSecurity>0</DocSecurity>
  <Lines>2383</Lines>
  <Paragraphs>670</Paragraphs>
  <ScaleCrop>false</ScaleCrop>
  <HeadingPairs>
    <vt:vector size="2" baseType="variant">
      <vt:variant>
        <vt:lpstr>Title</vt:lpstr>
      </vt:variant>
      <vt:variant>
        <vt:i4>1</vt:i4>
      </vt:variant>
    </vt:vector>
  </HeadingPairs>
  <TitlesOfParts>
    <vt:vector size="1" baseType="lpstr">
      <vt:lpstr>Post-Natural Disturbance Forest Retention Guidance 2017 Wildfires</vt:lpstr>
    </vt:vector>
  </TitlesOfParts>
  <Company>Province of British Columbia</Company>
  <LinksUpToDate>false</LinksUpToDate>
  <CharactersWithSpaces>335471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Post-Natural Disturbance Forest Retention Guidance 2017 Wildfires</dc:title>
  <dc:creator>Marvin Eng;Pamela Dykstra</dc:creator>
  <cp:lastModifiedBy>Nussbaum, Albert F FLNR:EX</cp:lastModifiedBy>
  <cp:revision>4</cp:revision>
  <cp:lastPrinted>2018-01-16T22:23:00Z</cp:lastPrinted>
  <dcterms:created xsi:type="dcterms:W3CDTF">2018-01-26T16:59:00Z</dcterms:created>
  <dcterms:modified xsi:type="dcterms:W3CDTF">2018-01-26T17:04:00Z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zotero-version="5.0.34"&gt;&lt;session id="Neuu9A5i"/&gt;&lt;style id="http://www.zotero.org/styles/applied-in-vitro-toxicology" hasBibliography="1" bibliographyStyleHasBeenSet="1"/&gt;&lt;prefs&gt;&lt;pref name="fieldType" value="Field"/&gt;&lt;pref name="autom</vt:lpwstr>
  </property>
  <property fmtid="{D5CDD505-2E9C-101B-9397-08002B2CF9AE}" pid="3" name="ZOTERO_PREF_2">
    <vt:lpwstr>aticJournalAbbreviations" value="true"/&gt;&lt;pref name="noteType" value="0"/&gt;&lt;/prefs&gt;&lt;/data&gt;</vt:lpwstr>
  </property>
</Properties>
</file>